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E8152" w14:textId="2EECFC62" w:rsidR="00B61A44" w:rsidRPr="00B61A44" w:rsidRDefault="00491C22" w:rsidP="00B61A44">
      <w:pPr>
        <w:pStyle w:val="Doccasestudyheading"/>
      </w:pPr>
      <w:r>
        <w:t>OFFSHORE WIND ACCELERATOR</w:t>
      </w:r>
      <w:r w:rsidR="00BC7D31">
        <w:t xml:space="preserve"> s</w:t>
      </w:r>
      <w:r w:rsidR="00FE60DB">
        <w:t>4</w:t>
      </w:r>
      <w:r w:rsidR="00BC7D31">
        <w:t>y</w:t>
      </w:r>
      <w:r w:rsidR="00C64264">
        <w:t>7</w:t>
      </w:r>
    </w:p>
    <w:p w14:paraId="5CC3F6D0" w14:textId="77777777" w:rsidR="00B61A44" w:rsidRPr="00120AD9" w:rsidRDefault="00491C22" w:rsidP="00B529F4">
      <w:pPr>
        <w:pStyle w:val="Title"/>
        <w:spacing w:after="360"/>
      </w:pPr>
      <w:r w:rsidRPr="00120AD9">
        <w:t xml:space="preserve">Clarification Question </w:t>
      </w:r>
      <w:r w:rsidRPr="00491C22">
        <w:t>Responses</w:t>
      </w:r>
    </w:p>
    <w:p w14:paraId="64E0631A" w14:textId="2DD733CE" w:rsidR="00B529F4" w:rsidRPr="00491C22" w:rsidRDefault="00126190" w:rsidP="00B529F4">
      <w:pPr>
        <w:rPr>
          <w:sz w:val="22"/>
        </w:rPr>
      </w:pPr>
      <w:r>
        <w:rPr>
          <w:noProof/>
        </w:rPr>
        <w:t>TWG-</w:t>
      </w:r>
      <w:r w:rsidR="00C64264">
        <w:rPr>
          <w:noProof/>
        </w:rPr>
        <w:t>L</w:t>
      </w:r>
      <w:r>
        <w:rPr>
          <w:noProof/>
        </w:rPr>
        <w:t xml:space="preserve"> </w:t>
      </w:r>
      <w:r w:rsidR="00B008C8">
        <w:rPr>
          <w:noProof/>
        </w:rPr>
        <w:t xml:space="preserve">– </w:t>
      </w:r>
      <w:r w:rsidR="00C64264">
        <w:rPr>
          <w:noProof/>
        </w:rPr>
        <w:t xml:space="preserve">Wind Farm Security </w:t>
      </w:r>
      <w:r w:rsidR="00B008C8">
        <w:rPr>
          <w:noProof/>
        </w:rPr>
        <w:t xml:space="preserve"> </w:t>
      </w:r>
    </w:p>
    <w:p w14:paraId="0F46B89C" w14:textId="4D796538" w:rsidR="003178D3" w:rsidRPr="00491C22" w:rsidRDefault="00C64264" w:rsidP="00E6786F">
      <w:pPr>
        <w:pStyle w:val="Keytext"/>
      </w:pPr>
      <w:r>
        <w:t>September 2026</w:t>
      </w:r>
    </w:p>
    <w:p w14:paraId="2724FC2F" w14:textId="77777777" w:rsidR="003178D3" w:rsidRPr="00491C22" w:rsidRDefault="003178D3" w:rsidP="003178D3"/>
    <w:p w14:paraId="50EB63CD" w14:textId="77777777" w:rsidR="003178D3" w:rsidRPr="00491C22" w:rsidRDefault="003178D3" w:rsidP="003178D3"/>
    <w:p w14:paraId="7160894F" w14:textId="77777777" w:rsidR="003178D3" w:rsidRPr="00491C22" w:rsidRDefault="003178D3" w:rsidP="003178D3"/>
    <w:p w14:paraId="1F8093BD" w14:textId="77777777" w:rsidR="003178D3" w:rsidRPr="00491C22" w:rsidRDefault="003178D3" w:rsidP="003178D3"/>
    <w:p w14:paraId="22B06CD7" w14:textId="77777777" w:rsidR="003178D3" w:rsidRPr="00491C22" w:rsidRDefault="003178D3" w:rsidP="003178D3"/>
    <w:p w14:paraId="654C29E7" w14:textId="77777777" w:rsidR="003178D3" w:rsidRPr="00491C22" w:rsidRDefault="003178D3" w:rsidP="003178D3"/>
    <w:p w14:paraId="35F06CCB" w14:textId="77777777" w:rsidR="003178D3" w:rsidRPr="00491C22" w:rsidRDefault="003178D3" w:rsidP="003178D3"/>
    <w:p w14:paraId="638A7479" w14:textId="77777777" w:rsidR="003178D3" w:rsidRPr="00491C22" w:rsidRDefault="003178D3" w:rsidP="003178D3"/>
    <w:p w14:paraId="51A31FCC" w14:textId="77777777" w:rsidR="003178D3" w:rsidRPr="00491C22" w:rsidRDefault="003178D3" w:rsidP="003178D3"/>
    <w:p w14:paraId="7A07A6C7" w14:textId="77777777" w:rsidR="003178D3" w:rsidRPr="00491C22" w:rsidRDefault="003178D3" w:rsidP="003178D3"/>
    <w:p w14:paraId="1296200C" w14:textId="77777777" w:rsidR="003178D3" w:rsidRPr="00491C22" w:rsidRDefault="003178D3" w:rsidP="003178D3"/>
    <w:p w14:paraId="24583AA9" w14:textId="77777777" w:rsidR="003178D3" w:rsidRPr="00491C22" w:rsidRDefault="003178D3" w:rsidP="003178D3"/>
    <w:p w14:paraId="67CF381D" w14:textId="77777777" w:rsidR="003178D3" w:rsidRPr="00491C22" w:rsidRDefault="003178D3" w:rsidP="003178D3"/>
    <w:p w14:paraId="13A89EC2" w14:textId="77777777" w:rsidR="003178D3" w:rsidRPr="00491C22" w:rsidRDefault="003178D3" w:rsidP="003178D3"/>
    <w:p w14:paraId="46DF335F" w14:textId="77777777" w:rsidR="003178D3" w:rsidRPr="00491C22" w:rsidRDefault="003178D3" w:rsidP="003178D3"/>
    <w:p w14:paraId="7BC29482" w14:textId="77777777" w:rsidR="003178D3" w:rsidRPr="00491C22" w:rsidRDefault="003178D3" w:rsidP="003178D3"/>
    <w:p w14:paraId="72C826A0" w14:textId="77777777" w:rsidR="003178D3" w:rsidRPr="00491C22" w:rsidRDefault="003178D3" w:rsidP="003178D3"/>
    <w:p w14:paraId="037EBB72" w14:textId="77777777" w:rsidR="00C01915" w:rsidRPr="00491C22" w:rsidRDefault="00C01915" w:rsidP="003178D3">
      <w:pPr>
        <w:sectPr w:rsidR="00C01915" w:rsidRPr="00491C22" w:rsidSect="00705A76">
          <w:headerReference w:type="default" r:id="rId11"/>
          <w:footerReference w:type="default" r:id="rId12"/>
          <w:pgSz w:w="11907" w:h="16840" w:code="9"/>
          <w:pgMar w:top="2268" w:right="2268" w:bottom="454" w:left="1134" w:header="720" w:footer="709" w:gutter="0"/>
          <w:cols w:space="708"/>
          <w:docGrid w:linePitch="360"/>
        </w:sectPr>
      </w:pPr>
    </w:p>
    <w:tbl>
      <w:tblPr>
        <w:tblStyle w:val="ListTable4-Accent1"/>
        <w:tblW w:w="5023" w:type="pct"/>
        <w:tblLook w:val="04A0" w:firstRow="1" w:lastRow="0" w:firstColumn="1" w:lastColumn="0" w:noHBand="0" w:noVBand="1"/>
      </w:tblPr>
      <w:tblGrid>
        <w:gridCol w:w="535"/>
        <w:gridCol w:w="1360"/>
        <w:gridCol w:w="6179"/>
        <w:gridCol w:w="6145"/>
        <w:gridCol w:w="11"/>
      </w:tblGrid>
      <w:tr w:rsidR="00491C22" w14:paraId="51FF84D9" w14:textId="77777777" w:rsidTr="001E7D77">
        <w:trPr>
          <w:gridAfter w:val="1"/>
          <w:cnfStyle w:val="100000000000" w:firstRow="1" w:lastRow="0" w:firstColumn="0" w:lastColumn="0" w:oddVBand="0" w:evenVBand="0" w:oddHBand="0"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188" w:type="pct"/>
          </w:tcPr>
          <w:p w14:paraId="59BFDC54" w14:textId="4D1765BE" w:rsidR="00491C22" w:rsidRDefault="00491C22" w:rsidP="00B3411D">
            <w:r>
              <w:lastRenderedPageBreak/>
              <w:t>#</w:t>
            </w:r>
          </w:p>
        </w:tc>
        <w:tc>
          <w:tcPr>
            <w:tcW w:w="478" w:type="pct"/>
          </w:tcPr>
          <w:p w14:paraId="246CBD9F" w14:textId="26926881" w:rsidR="00491C22" w:rsidRDefault="00491C22" w:rsidP="00B3411D">
            <w:pPr>
              <w:cnfStyle w:val="100000000000" w:firstRow="1" w:lastRow="0" w:firstColumn="0" w:lastColumn="0" w:oddVBand="0" w:evenVBand="0" w:oddHBand="0" w:evenHBand="0" w:firstRowFirstColumn="0" w:firstRowLastColumn="0" w:lastRowFirstColumn="0" w:lastRowLastColumn="0"/>
            </w:pPr>
            <w:r>
              <w:t>Type</w:t>
            </w:r>
          </w:p>
        </w:tc>
        <w:tc>
          <w:tcPr>
            <w:tcW w:w="2171" w:type="pct"/>
          </w:tcPr>
          <w:p w14:paraId="7AB355EC" w14:textId="7B58F06A" w:rsidR="00491C22" w:rsidRDefault="00491C22" w:rsidP="00B3411D">
            <w:pPr>
              <w:cnfStyle w:val="100000000000" w:firstRow="1" w:lastRow="0" w:firstColumn="0" w:lastColumn="0" w:oddVBand="0" w:evenVBand="0" w:oddHBand="0" w:evenHBand="0" w:firstRowFirstColumn="0" w:firstRowLastColumn="0" w:lastRowFirstColumn="0" w:lastRowLastColumn="0"/>
            </w:pPr>
            <w:r>
              <w:t>Question</w:t>
            </w:r>
          </w:p>
        </w:tc>
        <w:tc>
          <w:tcPr>
            <w:tcW w:w="2159" w:type="pct"/>
          </w:tcPr>
          <w:p w14:paraId="4CF444C8" w14:textId="735554C9" w:rsidR="00491C22" w:rsidRDefault="00491C22" w:rsidP="00B3411D">
            <w:pPr>
              <w:cnfStyle w:val="100000000000" w:firstRow="1" w:lastRow="0" w:firstColumn="0" w:lastColumn="0" w:oddVBand="0" w:evenVBand="0" w:oddHBand="0" w:evenHBand="0" w:firstRowFirstColumn="0" w:firstRowLastColumn="0" w:lastRowFirstColumn="0" w:lastRowLastColumn="0"/>
            </w:pPr>
            <w:r>
              <w:t>Response</w:t>
            </w:r>
          </w:p>
        </w:tc>
      </w:tr>
      <w:tr w:rsidR="005B686E" w14:paraId="469BB343" w14:textId="77777777" w:rsidTr="00E95503">
        <w:trPr>
          <w:gridAfter w:val="1"/>
          <w:cnfStyle w:val="000000100000" w:firstRow="0" w:lastRow="0" w:firstColumn="0" w:lastColumn="0" w:oddVBand="0" w:evenVBand="0" w:oddHBand="1" w:evenHBand="0" w:firstRowFirstColumn="0" w:firstRowLastColumn="0" w:lastRowFirstColumn="0" w:lastRowLastColumn="0"/>
          <w:wAfter w:w="4" w:type="pct"/>
        </w:trPr>
        <w:tc>
          <w:tcPr>
            <w:cnfStyle w:val="001000000000" w:firstRow="0" w:lastRow="0" w:firstColumn="1" w:lastColumn="0" w:oddVBand="0" w:evenVBand="0" w:oddHBand="0" w:evenHBand="0" w:firstRowFirstColumn="0" w:firstRowLastColumn="0" w:lastRowFirstColumn="0" w:lastRowLastColumn="0"/>
            <w:tcW w:w="188" w:type="pct"/>
          </w:tcPr>
          <w:p w14:paraId="7A2A8AAF" w14:textId="0FB62AC2" w:rsidR="005B686E" w:rsidRDefault="005B686E" w:rsidP="005B686E">
            <w:r>
              <w:t>1</w:t>
            </w:r>
          </w:p>
        </w:tc>
        <w:tc>
          <w:tcPr>
            <w:tcW w:w="478" w:type="pct"/>
            <w:vAlign w:val="bottom"/>
          </w:tcPr>
          <w:p w14:paraId="52984AA7" w14:textId="4E0285B4" w:rsidR="005B686E" w:rsidRPr="00D15D13" w:rsidRDefault="00D15D13" w:rsidP="00D15D13">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vAlign w:val="bottom"/>
          </w:tcPr>
          <w:p w14:paraId="3774CFFF" w14:textId="5F7659B0" w:rsidR="005B686E" w:rsidRPr="008B2402" w:rsidRDefault="008B2402" w:rsidP="008B2402">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Please clarify the information-assurance and personnel requirements applicable to the project, including security clearance, vetting, controlled-circulation outputs, restrictions on recording/interview notes, secure storage or collaboration platforms, endpoint controls, personnel nationality/residency, organisational certifications, and any geographic restrictions on data storage or access.</w:t>
            </w:r>
          </w:p>
        </w:tc>
        <w:tc>
          <w:tcPr>
            <w:tcW w:w="2159" w:type="pct"/>
          </w:tcPr>
          <w:p w14:paraId="175C2F9F" w14:textId="5B2B02FC" w:rsidR="005B686E" w:rsidRDefault="001E1157" w:rsidP="00535FD9">
            <w:pPr>
              <w:cnfStyle w:val="000000100000" w:firstRow="0" w:lastRow="0" w:firstColumn="0" w:lastColumn="0" w:oddVBand="0" w:evenVBand="0" w:oddHBand="1" w:evenHBand="0" w:firstRowFirstColumn="0" w:firstRowLastColumn="0" w:lastRowFirstColumn="0" w:lastRowLastColumn="0"/>
            </w:pPr>
            <w:r w:rsidRPr="001E1157">
              <w:t xml:space="preserve">Given the potentially sensitive nature of the information involved, bidders should demonstrate appropriate experience and controls for handling security-sensitive information, including information up to TLP – Amber+ where applicable. This may include compliance with any NDA, access-control, secure storage, information-sharing and circulation requirements imposed by the Carbon Trust, OWA Partners or third-party organisations providing input data. At this stage, no specific mandatory security clearance, personnel nationality/residency requirement, organisational certification or prescribed collaboration platform is specified in the ITT. </w:t>
            </w:r>
            <w:r>
              <w:br/>
              <w:t xml:space="preserve">However, it is to note, that </w:t>
            </w:r>
            <w:r w:rsidR="00535FD9">
              <w:t>a</w:t>
            </w:r>
            <w:r w:rsidRPr="001E1157">
              <w:t>dditional requirements will depend on the nature of the information shared by relevant stakeholders and will be confirmed with the appointed Contractor as needed</w:t>
            </w:r>
            <w:r w:rsidR="00535FD9">
              <w:t>.  An example could be that certain data might only be discuss</w:t>
            </w:r>
            <w:r w:rsidR="000B6B7B">
              <w:t>ed</w:t>
            </w:r>
            <w:r w:rsidR="00535FD9">
              <w:t>, shared</w:t>
            </w:r>
            <w:r w:rsidR="000B6B7B">
              <w:t xml:space="preserve"> and stored with </w:t>
            </w:r>
            <w:r w:rsidR="00AB340D">
              <w:t>NATO countr</w:t>
            </w:r>
            <w:r w:rsidR="001253D6">
              <w:t>ies and to personnel nationals of a NATO country</w:t>
            </w:r>
            <w:r w:rsidR="00AB340D">
              <w:t xml:space="preserve">. </w:t>
            </w:r>
          </w:p>
        </w:tc>
      </w:tr>
      <w:tr w:rsidR="005B686E" w14:paraId="70E5DC52" w14:textId="77777777" w:rsidTr="00E95503">
        <w:trPr>
          <w:gridAfter w:val="1"/>
          <w:wAfter w:w="4" w:type="pct"/>
        </w:trPr>
        <w:tc>
          <w:tcPr>
            <w:cnfStyle w:val="001000000000" w:firstRow="0" w:lastRow="0" w:firstColumn="1" w:lastColumn="0" w:oddVBand="0" w:evenVBand="0" w:oddHBand="0" w:evenHBand="0" w:firstRowFirstColumn="0" w:firstRowLastColumn="0" w:lastRowFirstColumn="0" w:lastRowLastColumn="0"/>
            <w:tcW w:w="188" w:type="pct"/>
            <w:vAlign w:val="center"/>
          </w:tcPr>
          <w:p w14:paraId="38F722F0" w14:textId="5A931956" w:rsidR="005B686E" w:rsidRDefault="005B686E" w:rsidP="005B686E">
            <w:r>
              <w:t>2</w:t>
            </w:r>
          </w:p>
        </w:tc>
        <w:tc>
          <w:tcPr>
            <w:tcW w:w="478" w:type="pct"/>
            <w:vAlign w:val="bottom"/>
          </w:tcPr>
          <w:p w14:paraId="7C04319E" w14:textId="4F62A2FC" w:rsidR="005B686E" w:rsidRPr="00D15D13" w:rsidRDefault="00D15D13" w:rsidP="00D15D13">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vAlign w:val="bottom"/>
          </w:tcPr>
          <w:p w14:paraId="47F071D6" w14:textId="7E9B799D" w:rsidR="005B686E" w:rsidRDefault="005B686E" w:rsidP="005B686E">
            <w:pP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Can you provide an indication of how many OWA Partner Emergency Response Plans will be made available, their permitted use, and whether anonymised cross-company findings may be included in deliverables?</w:t>
            </w:r>
          </w:p>
        </w:tc>
        <w:tc>
          <w:tcPr>
            <w:tcW w:w="2159" w:type="pct"/>
          </w:tcPr>
          <w:p w14:paraId="50CBDF4B" w14:textId="6E29AF4A" w:rsidR="00C26664" w:rsidRPr="00C26664" w:rsidRDefault="00C26664" w:rsidP="00C26664">
            <w:pPr>
              <w:cnfStyle w:val="000000000000" w:firstRow="0" w:lastRow="0" w:firstColumn="0" w:lastColumn="0" w:oddVBand="0" w:evenVBand="0" w:oddHBand="0" w:evenHBand="0" w:firstRowFirstColumn="0" w:firstRowLastColumn="0" w:lastRowFirstColumn="0" w:lastRowLastColumn="0"/>
            </w:pPr>
            <w:r w:rsidRPr="00C26664">
              <w:t xml:space="preserve">Emergency Response Plans may be made available by OWA Partners at their own discretion, and the Carbon Trust cannot confirm at this stage how many plans will be shared. Any information provided will be subject to the applicable confidentiality, NDA and information-handling requirements. Bidders should therefore not assume guaranteed access to a specific number of plans and should set out any assumptions in their Tender. The outputs may draw on insights from partner information where appropriate, but any cross-company findings should be anonymised, aggregated and presented in a way that </w:t>
            </w:r>
            <w:r w:rsidRPr="00C26664">
              <w:lastRenderedPageBreak/>
              <w:t xml:space="preserve">does not disclose confidential or partner-specific information unless expressly agreed. Bidders are also encouraged to draw on their own expertise, </w:t>
            </w:r>
            <w:r>
              <w:t xml:space="preserve">their own contacts, </w:t>
            </w:r>
            <w:r w:rsidRPr="00C26664">
              <w:t>publicly available information and relevant stakeholder engagement to supplement any OWA Partner input.</w:t>
            </w:r>
          </w:p>
          <w:p w14:paraId="6E4BE6E5" w14:textId="0FA53AC2" w:rsidR="005B686E" w:rsidRDefault="005B686E" w:rsidP="005B686E">
            <w:pPr>
              <w:cnfStyle w:val="000000000000" w:firstRow="0" w:lastRow="0" w:firstColumn="0" w:lastColumn="0" w:oddVBand="0" w:evenVBand="0" w:oddHBand="0" w:evenHBand="0" w:firstRowFirstColumn="0" w:firstRowLastColumn="0" w:lastRowFirstColumn="0" w:lastRowLastColumn="0"/>
            </w:pPr>
          </w:p>
        </w:tc>
      </w:tr>
      <w:tr w:rsidR="005B686E" w14:paraId="2AAD1A05" w14:textId="77777777" w:rsidTr="00E955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 w:type="pct"/>
          </w:tcPr>
          <w:p w14:paraId="260D394A" w14:textId="583FCF4F" w:rsidR="005B686E" w:rsidRDefault="005B686E" w:rsidP="005B686E">
            <w:r>
              <w:lastRenderedPageBreak/>
              <w:t>3</w:t>
            </w:r>
          </w:p>
        </w:tc>
        <w:tc>
          <w:tcPr>
            <w:tcW w:w="478" w:type="pct"/>
            <w:vAlign w:val="bottom"/>
          </w:tcPr>
          <w:p w14:paraId="645B7FF5" w14:textId="5BE0CC5F" w:rsidR="005B686E" w:rsidRPr="00D15D13" w:rsidRDefault="00D15D13" w:rsidP="00D15D13">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vAlign w:val="bottom"/>
          </w:tcPr>
          <w:p w14:paraId="2548BD10" w14:textId="5B44BC79" w:rsidR="005B686E" w:rsidRDefault="005B686E" w:rsidP="005B686E">
            <w:pP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Although the focus is on offshore wind, is there an expectation that other offshore industries (O&amp;G, shipping, telecoms) should also be reviewed for examples, information etc ?</w:t>
            </w:r>
          </w:p>
        </w:tc>
        <w:tc>
          <w:tcPr>
            <w:tcW w:w="2163" w:type="pct"/>
            <w:gridSpan w:val="2"/>
          </w:tcPr>
          <w:p w14:paraId="7289C73B" w14:textId="7D63B1DA" w:rsidR="005B686E" w:rsidRDefault="00B1308E" w:rsidP="005B686E">
            <w:pPr>
              <w:cnfStyle w:val="000000100000" w:firstRow="0" w:lastRow="0" w:firstColumn="0" w:lastColumn="0" w:oddVBand="0" w:evenVBand="0" w:oddHBand="1" w:evenHBand="0" w:firstRowFirstColumn="0" w:firstRowLastColumn="0" w:lastRowFirstColumn="0" w:lastRowLastColumn="0"/>
            </w:pPr>
            <w:r w:rsidRPr="00B1308E">
              <w:t>Bidders may draw on relevant examples, information and lessons learned from other offshore industries, such as oil and gas, shipping, telecoms or other maritime infrastructure, where these provide useful insight for offshore wind farm security. However, the focus of the project should remain on offshore wind. Bidders should clearly explain the relevance, benefits and limitations of any cross-sector examples included in their proposed approach.</w:t>
            </w:r>
          </w:p>
        </w:tc>
      </w:tr>
      <w:tr w:rsidR="005B686E" w14:paraId="5449FF86" w14:textId="77777777" w:rsidTr="00E95503">
        <w:tc>
          <w:tcPr>
            <w:cnfStyle w:val="001000000000" w:firstRow="0" w:lastRow="0" w:firstColumn="1" w:lastColumn="0" w:oddVBand="0" w:evenVBand="0" w:oddHBand="0" w:evenHBand="0" w:firstRowFirstColumn="0" w:firstRowLastColumn="0" w:lastRowFirstColumn="0" w:lastRowLastColumn="0"/>
            <w:tcW w:w="188" w:type="pct"/>
          </w:tcPr>
          <w:p w14:paraId="6CEEABAA" w14:textId="2300E617" w:rsidR="005B686E" w:rsidRDefault="005B686E" w:rsidP="005B686E">
            <w:r>
              <w:t>4</w:t>
            </w:r>
          </w:p>
        </w:tc>
        <w:tc>
          <w:tcPr>
            <w:tcW w:w="478" w:type="pct"/>
            <w:vAlign w:val="bottom"/>
          </w:tcPr>
          <w:p w14:paraId="1B3C8867" w14:textId="1B4FBD3C" w:rsidR="005B686E" w:rsidRPr="00D15D13" w:rsidRDefault="00D15D13" w:rsidP="00D15D13">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vAlign w:val="bottom"/>
          </w:tcPr>
          <w:p w14:paraId="7C49A3C4" w14:textId="16C9607B" w:rsidR="005B686E" w:rsidRPr="008B2402" w:rsidRDefault="008B2402" w:rsidP="008B2402">
            <w:pPr>
              <w:spacing w:before="0" w:after="0"/>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 xml:space="preserve">How much facilitation can be expected from the Carbon Trust and/or OWA Partners to secure access or introductions to relevant government, defence, regulatory and industry stakeholders, including TSOs, MoD, NATO, government ministries, </w:t>
            </w:r>
            <w:proofErr w:type="spellStart"/>
            <w:r>
              <w:rPr>
                <w:rFonts w:ascii="Aptos Narrow" w:hAnsi="Aptos Narrow"/>
                <w:color w:val="000000"/>
                <w:sz w:val="22"/>
                <w:szCs w:val="22"/>
              </w:rPr>
              <w:t>WindEurope</w:t>
            </w:r>
            <w:proofErr w:type="spellEnd"/>
            <w:r>
              <w:rPr>
                <w:rFonts w:ascii="Aptos Narrow" w:hAnsi="Aptos Narrow"/>
                <w:color w:val="000000"/>
                <w:sz w:val="22"/>
                <w:szCs w:val="22"/>
              </w:rPr>
              <w:t xml:space="preserve"> and other sector bodies?</w:t>
            </w:r>
          </w:p>
        </w:tc>
        <w:tc>
          <w:tcPr>
            <w:tcW w:w="2163" w:type="pct"/>
            <w:gridSpan w:val="2"/>
          </w:tcPr>
          <w:p w14:paraId="301C99EE" w14:textId="5C433933" w:rsidR="005B686E" w:rsidRPr="00F1721C" w:rsidRDefault="00F1721C" w:rsidP="00F1721C">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t>The OWA may facilitate selected introductions where appropriate, particularly where existing OWA or industry relationships are relevant. However, bidders should not assume that all stakeholder access will be arranged by the OWA. Bidders are expected to set out how they would engage relevant stakeholders and draw on their own networks, experience and proposed approach, with any Carbon Trust or OWA Partner support supplementing this where practical.</w:t>
            </w:r>
          </w:p>
        </w:tc>
      </w:tr>
      <w:tr w:rsidR="005B686E" w14:paraId="5B06A3BB" w14:textId="77777777" w:rsidTr="00E955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 w:type="pct"/>
          </w:tcPr>
          <w:p w14:paraId="46760579" w14:textId="7487B268" w:rsidR="005B686E" w:rsidRDefault="005B686E" w:rsidP="005B686E">
            <w:r>
              <w:t>5</w:t>
            </w:r>
          </w:p>
        </w:tc>
        <w:tc>
          <w:tcPr>
            <w:tcW w:w="478" w:type="pct"/>
            <w:vAlign w:val="bottom"/>
          </w:tcPr>
          <w:p w14:paraId="38BCDBA2" w14:textId="7DB2329B" w:rsidR="005B686E" w:rsidRPr="00D15D13" w:rsidRDefault="00D15D13" w:rsidP="00D15D13">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vAlign w:val="bottom"/>
          </w:tcPr>
          <w:p w14:paraId="4042A62D" w14:textId="2A04E5C4" w:rsidR="005B686E" w:rsidRPr="008B2402" w:rsidRDefault="008B2402" w:rsidP="008B2402">
            <w:pPr>
              <w:spacing w:before="0" w:after="0"/>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Please clarify the geographic scope of the review, including whether this should cover all EU Member States, selected offshore wind markets such as the Baltic and Northern Europe, or only the UK and EU jurisdictions explicitly referenced in the ITT.</w:t>
            </w:r>
          </w:p>
        </w:tc>
        <w:tc>
          <w:tcPr>
            <w:tcW w:w="2163" w:type="pct"/>
            <w:gridSpan w:val="2"/>
          </w:tcPr>
          <w:p w14:paraId="57EDDB65" w14:textId="02498DC3" w:rsidR="005B686E" w:rsidRPr="00F1721C" w:rsidRDefault="00F1721C" w:rsidP="00F1721C">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color w:val="000000"/>
              </w:rPr>
              <w:t xml:space="preserve">The project scope is focused on offshore wind farm security and resilience across Europe and the UK, with particular attention to wind farms located in the North Sea and Baltic Sea. Other European offshore wind markets may be considered where </w:t>
            </w:r>
            <w:r>
              <w:rPr>
                <w:color w:val="000000"/>
              </w:rPr>
              <w:lastRenderedPageBreak/>
              <w:t>relevant and useful to the analysis, but they are not expected to be the primary focus of the study.</w:t>
            </w:r>
          </w:p>
        </w:tc>
      </w:tr>
      <w:tr w:rsidR="005B686E" w14:paraId="2E5433A4" w14:textId="77777777" w:rsidTr="00E95503">
        <w:tc>
          <w:tcPr>
            <w:cnfStyle w:val="001000000000" w:firstRow="0" w:lastRow="0" w:firstColumn="1" w:lastColumn="0" w:oddVBand="0" w:evenVBand="0" w:oddHBand="0" w:evenHBand="0" w:firstRowFirstColumn="0" w:firstRowLastColumn="0" w:lastRowFirstColumn="0" w:lastRowLastColumn="0"/>
            <w:tcW w:w="188" w:type="pct"/>
          </w:tcPr>
          <w:p w14:paraId="28596CB1" w14:textId="039AE744" w:rsidR="005B686E" w:rsidRPr="008B2402" w:rsidRDefault="008B2402" w:rsidP="008B2402">
            <w:pPr>
              <w:rPr>
                <w:kern w:val="2"/>
                <w:lang w:eastAsia="en-GB"/>
                <w14:ligatures w14:val="standardContextual"/>
              </w:rPr>
            </w:pPr>
            <w:r>
              <w:lastRenderedPageBreak/>
              <w:t>6</w:t>
            </w:r>
          </w:p>
        </w:tc>
        <w:tc>
          <w:tcPr>
            <w:tcW w:w="478" w:type="pct"/>
            <w:vAlign w:val="bottom"/>
          </w:tcPr>
          <w:p w14:paraId="09AB9A6C" w14:textId="58D8B563" w:rsidR="005B686E" w:rsidRPr="00D15D13" w:rsidRDefault="00D15D13" w:rsidP="00D15D13">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vAlign w:val="bottom"/>
          </w:tcPr>
          <w:p w14:paraId="174FC5BA" w14:textId="6B036047" w:rsidR="005B686E" w:rsidRDefault="005B686E" w:rsidP="005B686E">
            <w:pP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Will all the deliverables be made publicly available or will there be separate version for "internal" and "public" circulation?</w:t>
            </w:r>
          </w:p>
        </w:tc>
        <w:tc>
          <w:tcPr>
            <w:tcW w:w="2163" w:type="pct"/>
            <w:gridSpan w:val="2"/>
          </w:tcPr>
          <w:p w14:paraId="6A6135A7" w14:textId="4B536F8A" w:rsidR="005B686E" w:rsidRPr="00F1721C" w:rsidRDefault="00F1721C" w:rsidP="00F1721C">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t>The project deliverables are expected to be for internal circulation within the OWA in the first instance. There is currently no expectation that all deliverables will be made publicly available. Any wider sharing with other industry organisations, or the potential publication of a public-facing summary, would be considered later in the project and would be subject to OWA approval and any applicable confidentiality restrictions.</w:t>
            </w:r>
          </w:p>
        </w:tc>
      </w:tr>
      <w:tr w:rsidR="00E64376" w14:paraId="7C1B7D7A" w14:textId="77777777" w:rsidTr="001872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 w:type="pct"/>
          </w:tcPr>
          <w:p w14:paraId="7BEEB964" w14:textId="118A3BA7" w:rsidR="00E64376" w:rsidRPr="00D15D13" w:rsidRDefault="00D15D13" w:rsidP="00D15D13">
            <w:pPr>
              <w:rPr>
                <w:kern w:val="2"/>
                <w:lang w:eastAsia="en-GB"/>
                <w14:ligatures w14:val="standardContextual"/>
              </w:rPr>
            </w:pPr>
            <w:r>
              <w:rPr>
                <w:color w:val="000000"/>
              </w:rPr>
              <w:t>7</w:t>
            </w:r>
          </w:p>
        </w:tc>
        <w:tc>
          <w:tcPr>
            <w:tcW w:w="478" w:type="pct"/>
            <w:vAlign w:val="center"/>
          </w:tcPr>
          <w:p w14:paraId="104B1A02" w14:textId="3603EC13" w:rsidR="00E64376" w:rsidRPr="00D15D13" w:rsidRDefault="00D15D13" w:rsidP="00D15D13">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vAlign w:val="bottom"/>
          </w:tcPr>
          <w:p w14:paraId="2C3168C3" w14:textId="7E47CE3C" w:rsidR="00E64376" w:rsidRDefault="00E64376" w:rsidP="00E64376">
            <w:pP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What level of maturity assessment is expected for surveillance technologies (TRL)?</w:t>
            </w:r>
          </w:p>
        </w:tc>
        <w:tc>
          <w:tcPr>
            <w:tcW w:w="2163" w:type="pct"/>
            <w:gridSpan w:val="2"/>
          </w:tcPr>
          <w:p w14:paraId="7E8CD6DB" w14:textId="3BDF3EB2" w:rsidR="00E64376" w:rsidRPr="00F1721C" w:rsidRDefault="00F1721C" w:rsidP="00F1721C">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color w:val="000000"/>
              </w:rPr>
              <w:t>The surveillance technology review should primarily consider technologies that are market-ready or near commercialisation, as the project is intended to support practical implementation and cost assessment. Emerging technologies may also be referenced where they are relevant to identified capability gaps or future security needs, but the main emphasis should remain on solutions that could realistically be deployed or adapted for offshore wind farm security.</w:t>
            </w:r>
          </w:p>
        </w:tc>
      </w:tr>
      <w:tr w:rsidR="00E64376" w14:paraId="4272A2EF" w14:textId="77777777" w:rsidTr="001872A9">
        <w:tc>
          <w:tcPr>
            <w:cnfStyle w:val="001000000000" w:firstRow="0" w:lastRow="0" w:firstColumn="1" w:lastColumn="0" w:oddVBand="0" w:evenVBand="0" w:oddHBand="0" w:evenHBand="0" w:firstRowFirstColumn="0" w:firstRowLastColumn="0" w:lastRowFirstColumn="0" w:lastRowLastColumn="0"/>
            <w:tcW w:w="188" w:type="pct"/>
          </w:tcPr>
          <w:p w14:paraId="45A99D24" w14:textId="2329A9DB" w:rsidR="00E64376" w:rsidRPr="00D15D13" w:rsidRDefault="00D15D13" w:rsidP="00D15D13">
            <w:pPr>
              <w:rPr>
                <w:kern w:val="2"/>
                <w:lang w:eastAsia="en-GB"/>
                <w14:ligatures w14:val="standardContextual"/>
              </w:rPr>
            </w:pPr>
            <w:r>
              <w:t>8</w:t>
            </w:r>
          </w:p>
        </w:tc>
        <w:tc>
          <w:tcPr>
            <w:tcW w:w="478" w:type="pct"/>
            <w:vAlign w:val="center"/>
          </w:tcPr>
          <w:p w14:paraId="16FE569B" w14:textId="37E55D7D" w:rsidR="00E64376" w:rsidRPr="00D15D13" w:rsidRDefault="00D15D13" w:rsidP="00D15D13">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vAlign w:val="bottom"/>
          </w:tcPr>
          <w:p w14:paraId="364D3AB2" w14:textId="1DFC26B0" w:rsidR="00E64376" w:rsidRPr="008B2402" w:rsidRDefault="008B2402" w:rsidP="008B2402">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To what extent should WP1 assess vulnerabilities across development, construction and operational phases, including dependence on GNSS/GPS for offshore survey, positioning, installation and operational activities, and exposure to interference, spoofing or jamming?</w:t>
            </w:r>
          </w:p>
        </w:tc>
        <w:tc>
          <w:tcPr>
            <w:tcW w:w="2163" w:type="pct"/>
            <w:gridSpan w:val="2"/>
          </w:tcPr>
          <w:p w14:paraId="4BD195F5" w14:textId="3E15D8B8" w:rsidR="00E64376" w:rsidRDefault="00960050" w:rsidP="00E64376">
            <w:pPr>
              <w:cnfStyle w:val="000000000000" w:firstRow="0" w:lastRow="0" w:firstColumn="0" w:lastColumn="0" w:oddVBand="0" w:evenVBand="0" w:oddHBand="0" w:evenHBand="0" w:firstRowFirstColumn="0" w:firstRowLastColumn="0" w:lastRowFirstColumn="0" w:lastRowLastColumn="0"/>
            </w:pPr>
            <w:r>
              <w:t>As stated in WP1, the focus is</w:t>
            </w:r>
            <w:r w:rsidR="00C90216">
              <w:t xml:space="preserve"> </w:t>
            </w:r>
            <w:r w:rsidR="003F3315">
              <w:t xml:space="preserve">mainly </w:t>
            </w:r>
            <w:r w:rsidR="00C90216">
              <w:t>on</w:t>
            </w:r>
            <w:r>
              <w:t xml:space="preserve"> operational projects. </w:t>
            </w:r>
            <w:r w:rsidR="003F3315">
              <w:t xml:space="preserve">Work </w:t>
            </w:r>
            <w:r w:rsidR="00C35E64">
              <w:t>informing of threats to</w:t>
            </w:r>
            <w:r w:rsidR="003F3315">
              <w:t xml:space="preserve"> other project phases (survey</w:t>
            </w:r>
            <w:r w:rsidR="00C35E64">
              <w:t xml:space="preserve"> phase</w:t>
            </w:r>
            <w:r w:rsidR="003F3315">
              <w:t>, construction</w:t>
            </w:r>
            <w:r w:rsidR="00C35E64">
              <w:t xml:space="preserve"> phase</w:t>
            </w:r>
            <w:r w:rsidR="003F3315">
              <w:t xml:space="preserve"> etc) will be welcomed</w:t>
            </w:r>
            <w:r w:rsidR="00C35E64">
              <w:t>,</w:t>
            </w:r>
            <w:r w:rsidR="003F3315">
              <w:t xml:space="preserve"> </w:t>
            </w:r>
            <w:r w:rsidR="00C35E64">
              <w:t xml:space="preserve">but is not the focus of this project. </w:t>
            </w:r>
          </w:p>
        </w:tc>
      </w:tr>
      <w:tr w:rsidR="00E64376" w14:paraId="596EE8FE" w14:textId="77777777" w:rsidTr="001872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 w:type="pct"/>
          </w:tcPr>
          <w:p w14:paraId="226051EA" w14:textId="2790A913" w:rsidR="00E64376" w:rsidRPr="00D15D13" w:rsidRDefault="00D15D13" w:rsidP="00D15D13">
            <w:pPr>
              <w:rPr>
                <w:kern w:val="2"/>
                <w:lang w:eastAsia="en-GB"/>
                <w14:ligatures w14:val="standardContextual"/>
              </w:rPr>
            </w:pPr>
            <w:r>
              <w:rPr>
                <w:color w:val="000000"/>
              </w:rPr>
              <w:t>9</w:t>
            </w:r>
          </w:p>
        </w:tc>
        <w:tc>
          <w:tcPr>
            <w:tcW w:w="478" w:type="pct"/>
            <w:vAlign w:val="center"/>
          </w:tcPr>
          <w:p w14:paraId="64335140" w14:textId="4CCA7D9C" w:rsidR="00E64376" w:rsidRPr="00D15D13" w:rsidRDefault="00D15D13" w:rsidP="00D15D13">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vAlign w:val="bottom"/>
          </w:tcPr>
          <w:p w14:paraId="1FC0FCE3" w14:textId="63594E51" w:rsidR="00E64376" w:rsidRDefault="00E64376" w:rsidP="00E64376">
            <w:pP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xml:space="preserve">Is the expectation to assess consequences only in terms of security and safety, or also commercial impacts such as project delays, </w:t>
            </w:r>
            <w:r>
              <w:rPr>
                <w:rFonts w:ascii="Aptos Narrow" w:hAnsi="Aptos Narrow"/>
                <w:color w:val="000000"/>
                <w:sz w:val="22"/>
                <w:szCs w:val="22"/>
              </w:rPr>
              <w:lastRenderedPageBreak/>
              <w:t>vessel downtime, re-surveys, aborted operations, and increased HSE risks</w:t>
            </w:r>
          </w:p>
        </w:tc>
        <w:tc>
          <w:tcPr>
            <w:tcW w:w="2163" w:type="pct"/>
            <w:gridSpan w:val="2"/>
          </w:tcPr>
          <w:p w14:paraId="581A4F1F" w14:textId="77777777" w:rsidR="00F1721C" w:rsidRDefault="00F1721C">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color w:val="000000"/>
              </w:rPr>
              <w:lastRenderedPageBreak/>
              <w:t xml:space="preserve">The main focus of the project is offshore wind farm security, resilience and safe operation. Impacts on a wind farm’s ability to operate, such as aborted O&amp;M activities, vessel downtime or </w:t>
            </w:r>
            <w:r>
              <w:rPr>
                <w:color w:val="000000"/>
              </w:rPr>
              <w:lastRenderedPageBreak/>
              <w:t>disruption caused by security threats, may be considered where relevant to the assessment.</w:t>
            </w:r>
          </w:p>
          <w:p w14:paraId="49B254E0" w14:textId="5440B49E" w:rsidR="006F7FE8" w:rsidRPr="00F1721C" w:rsidRDefault="00F1721C" w:rsidP="00F1721C">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color w:val="000000"/>
              </w:rPr>
              <w:t>Potential wider commercial impacts, such as delays, re-surveys or additional HSE risks, may be included where they are proportionate and clearly linked to offshore wind security risks, but the project should remain focused on operational offshore wind assets.</w:t>
            </w:r>
          </w:p>
        </w:tc>
      </w:tr>
      <w:tr w:rsidR="00E64376" w14:paraId="35F61DB0" w14:textId="77777777" w:rsidTr="001872A9">
        <w:tc>
          <w:tcPr>
            <w:cnfStyle w:val="001000000000" w:firstRow="0" w:lastRow="0" w:firstColumn="1" w:lastColumn="0" w:oddVBand="0" w:evenVBand="0" w:oddHBand="0" w:evenHBand="0" w:firstRowFirstColumn="0" w:firstRowLastColumn="0" w:lastRowFirstColumn="0" w:lastRowLastColumn="0"/>
            <w:tcW w:w="188" w:type="pct"/>
          </w:tcPr>
          <w:p w14:paraId="0EED4D64" w14:textId="3E4E9C0F" w:rsidR="00E64376" w:rsidRPr="00D15D13" w:rsidRDefault="00D15D13" w:rsidP="00D15D13">
            <w:pPr>
              <w:rPr>
                <w:kern w:val="2"/>
                <w:lang w:eastAsia="en-GB"/>
                <w14:ligatures w14:val="standardContextual"/>
              </w:rPr>
            </w:pPr>
            <w:r>
              <w:lastRenderedPageBreak/>
              <w:t>10</w:t>
            </w:r>
          </w:p>
        </w:tc>
        <w:tc>
          <w:tcPr>
            <w:tcW w:w="478" w:type="pct"/>
            <w:vAlign w:val="center"/>
          </w:tcPr>
          <w:p w14:paraId="40BEA522" w14:textId="3DD09AC8" w:rsidR="00E64376" w:rsidRPr="00D15D13" w:rsidRDefault="00D15D13" w:rsidP="00D15D13">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vAlign w:val="bottom"/>
          </w:tcPr>
          <w:p w14:paraId="6CD1DED8" w14:textId="11E395ED" w:rsidR="00E64376" w:rsidRDefault="00E64376" w:rsidP="00E64376">
            <w:pP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Is there an expectation to capture lessons learned from offshore projects that have experienced GPS spoofing, jamming or navigation interference events, even where such incidents did not result in a formal security breach?</w:t>
            </w:r>
          </w:p>
        </w:tc>
        <w:tc>
          <w:tcPr>
            <w:tcW w:w="2163" w:type="pct"/>
            <w:gridSpan w:val="2"/>
          </w:tcPr>
          <w:p w14:paraId="4A5EE7F9" w14:textId="65660019" w:rsidR="00E64376" w:rsidRPr="00F1721C" w:rsidRDefault="00F1721C" w:rsidP="00F1721C">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t xml:space="preserve">The contractor is expected to undertake a thorough review of relevant incidents and lessons learned where these can inform offshore wind farm security and resilience, including GPS spoofing, jamming or navigation interference events, even where they did not result in a formal security breach. </w:t>
            </w:r>
            <w:r w:rsidR="009E1B55">
              <w:t xml:space="preserve">There might be a potential </w:t>
            </w:r>
            <w:r w:rsidR="009D2F9A">
              <w:t xml:space="preserve">that certain </w:t>
            </w:r>
            <w:r>
              <w:t xml:space="preserve">learnings or information </w:t>
            </w:r>
            <w:r w:rsidR="009D2F9A">
              <w:t xml:space="preserve">regarding incidents, could be </w:t>
            </w:r>
            <w:r>
              <w:t xml:space="preserve">shared by OWA Partners, </w:t>
            </w:r>
            <w:proofErr w:type="spellStart"/>
            <w:r>
              <w:t>WindEurope</w:t>
            </w:r>
            <w:proofErr w:type="spellEnd"/>
            <w:r>
              <w:t xml:space="preserve">, OWIC or other organisations </w:t>
            </w:r>
            <w:r w:rsidR="009D2F9A">
              <w:t>that may have collected information. This would be shared based on a</w:t>
            </w:r>
            <w:r>
              <w:t xml:space="preserve"> confidentiality</w:t>
            </w:r>
            <w:r w:rsidR="009D2F9A">
              <w:t xml:space="preserve"> agreement</w:t>
            </w:r>
            <w:r>
              <w:t xml:space="preserve"> and any applicable information-sharing restrictions.</w:t>
            </w:r>
          </w:p>
        </w:tc>
      </w:tr>
      <w:tr w:rsidR="007A2D3E" w14:paraId="55DAC178" w14:textId="77777777" w:rsidTr="004B06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 w:type="pct"/>
          </w:tcPr>
          <w:p w14:paraId="5D0316C2" w14:textId="7DF81F32" w:rsidR="007A2D3E" w:rsidRPr="00D15D13" w:rsidRDefault="00D15D13" w:rsidP="00D15D13">
            <w:pPr>
              <w:rPr>
                <w:kern w:val="2"/>
                <w:lang w:eastAsia="en-GB"/>
                <w14:ligatures w14:val="standardContextual"/>
              </w:rPr>
            </w:pPr>
            <w:r>
              <w:rPr>
                <w:color w:val="000000"/>
              </w:rPr>
              <w:t>11</w:t>
            </w:r>
          </w:p>
        </w:tc>
        <w:tc>
          <w:tcPr>
            <w:tcW w:w="478" w:type="pct"/>
            <w:vAlign w:val="center"/>
          </w:tcPr>
          <w:p w14:paraId="5A8D05BD" w14:textId="7001C66D" w:rsidR="007A2D3E" w:rsidRPr="00D15D13" w:rsidRDefault="00D15D13" w:rsidP="00D15D13">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vAlign w:val="center"/>
          </w:tcPr>
          <w:p w14:paraId="6F2207C3" w14:textId="3CDBA8BF" w:rsidR="007A2D3E" w:rsidRDefault="007A2D3E" w:rsidP="007A2D3E">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lang w:val="id-ID"/>
              </w:rPr>
              <w:t>Please confirm whether the Scope of Work is expected to include physical visits to operational offshore wind farms, onshore substations, control centres, ports or other associated infrastructure, or whether the assessment is primarily intended to be undertaken through document review, stakeholder engagement and existing OWA Partner information.</w:t>
            </w:r>
          </w:p>
        </w:tc>
        <w:tc>
          <w:tcPr>
            <w:tcW w:w="2163" w:type="pct"/>
            <w:gridSpan w:val="2"/>
          </w:tcPr>
          <w:p w14:paraId="0790B775" w14:textId="3688F95E" w:rsidR="007A2D3E" w:rsidRPr="00F1721C" w:rsidRDefault="00F1721C" w:rsidP="00F1721C">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color w:val="000000"/>
              </w:rPr>
              <w:t xml:space="preserve">The initial expectation is that the work will primarily be undertaken through document review, online stakeholder engagement and information provided </w:t>
            </w:r>
            <w:r w:rsidR="008B3004">
              <w:rPr>
                <w:color w:val="000000"/>
              </w:rPr>
              <w:t xml:space="preserve">by </w:t>
            </w:r>
            <w:r>
              <w:rPr>
                <w:color w:val="000000"/>
              </w:rPr>
              <w:t>relevant organisations. Site visits to operational wind farms, ports, onshore substations, control centres or other infrastructure are not</w:t>
            </w:r>
            <w:r w:rsidR="003F2827">
              <w:rPr>
                <w:color w:val="000000"/>
              </w:rPr>
              <w:t xml:space="preserve"> expected</w:t>
            </w:r>
            <w:r>
              <w:rPr>
                <w:color w:val="000000"/>
              </w:rPr>
              <w:t xml:space="preserve"> under the ITT, but bidders may propose them where they consider they would add value. Any such visits would need to be justified in the proposed approach and reflected in the bid assumptions and expenses.</w:t>
            </w:r>
          </w:p>
        </w:tc>
      </w:tr>
      <w:tr w:rsidR="007A2D3E" w14:paraId="28BE4647" w14:textId="77777777" w:rsidTr="004B06B2">
        <w:tc>
          <w:tcPr>
            <w:cnfStyle w:val="001000000000" w:firstRow="0" w:lastRow="0" w:firstColumn="1" w:lastColumn="0" w:oddVBand="0" w:evenVBand="0" w:oddHBand="0" w:evenHBand="0" w:firstRowFirstColumn="0" w:firstRowLastColumn="0" w:lastRowFirstColumn="0" w:lastRowLastColumn="0"/>
            <w:tcW w:w="188" w:type="pct"/>
          </w:tcPr>
          <w:p w14:paraId="443CFAC0" w14:textId="3D7634A5" w:rsidR="007A2D3E" w:rsidRPr="00D15D13" w:rsidRDefault="00D15D13" w:rsidP="00D15D13">
            <w:pPr>
              <w:rPr>
                <w:kern w:val="2"/>
                <w:lang w:eastAsia="en-GB"/>
                <w14:ligatures w14:val="standardContextual"/>
              </w:rPr>
            </w:pPr>
            <w:r>
              <w:t>12</w:t>
            </w:r>
          </w:p>
        </w:tc>
        <w:tc>
          <w:tcPr>
            <w:tcW w:w="478" w:type="pct"/>
            <w:vAlign w:val="center"/>
          </w:tcPr>
          <w:p w14:paraId="6B98D323" w14:textId="77777777" w:rsidR="00D15D13" w:rsidRDefault="00D15D13">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p>
          <w:p w14:paraId="726C6FA3" w14:textId="7C2C267B" w:rsidR="007A2D3E" w:rsidRPr="00D15D13" w:rsidRDefault="00D15D13" w:rsidP="00D15D13">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lastRenderedPageBreak/>
              <w:t>General</w:t>
            </w:r>
          </w:p>
        </w:tc>
        <w:tc>
          <w:tcPr>
            <w:tcW w:w="2171" w:type="pct"/>
            <w:vAlign w:val="center"/>
          </w:tcPr>
          <w:p w14:paraId="4503C2E4" w14:textId="45ED85C4" w:rsidR="007A2D3E" w:rsidRDefault="007A2D3E" w:rsidP="007A2D3E">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lang w:val="id-ID"/>
              </w:rPr>
              <w:lastRenderedPageBreak/>
              <w:t xml:space="preserve">Please confirm whether the stated expected Total Budget of £90,000–£130,000 is inclusive of all estimated travel, </w:t>
            </w:r>
            <w:r>
              <w:rPr>
                <w:lang w:val="id-ID"/>
              </w:rPr>
              <w:lastRenderedPageBreak/>
              <w:t xml:space="preserve">accommodation and subsistence expenses, or whether reasonable approved expenses are reimbursed at cost in addition to the contracted professional-fee budget. </w:t>
            </w:r>
          </w:p>
        </w:tc>
        <w:tc>
          <w:tcPr>
            <w:tcW w:w="2163" w:type="pct"/>
            <w:gridSpan w:val="2"/>
          </w:tcPr>
          <w:p w14:paraId="3C587647" w14:textId="646E5A1B" w:rsidR="007A2D3E" w:rsidRPr="00F1721C" w:rsidRDefault="00F1721C" w:rsidP="00F1721C">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lastRenderedPageBreak/>
              <w:t xml:space="preserve">The submitted Bid Price must include all expenses, including any anticipated travel, accommodation and subsistence costs. </w:t>
            </w:r>
            <w:r>
              <w:lastRenderedPageBreak/>
              <w:t>Expenses should be separately identified in the bid and will be paid as incurred up to the amount specified; any unused expenses balance will not be paid. Bidders should include reasonable assumptions for any potential travel requirements.</w:t>
            </w:r>
          </w:p>
        </w:tc>
      </w:tr>
      <w:tr w:rsidR="007A2D3E" w14:paraId="43FDF96C" w14:textId="77777777" w:rsidTr="004B06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 w:type="pct"/>
          </w:tcPr>
          <w:p w14:paraId="7DEDAF0B" w14:textId="4A93589E" w:rsidR="007A2D3E" w:rsidRPr="00D15D13" w:rsidRDefault="00D15D13" w:rsidP="00D15D13">
            <w:pPr>
              <w:rPr>
                <w:kern w:val="2"/>
                <w:lang w:eastAsia="en-GB"/>
                <w14:ligatures w14:val="standardContextual"/>
              </w:rPr>
            </w:pPr>
            <w:r>
              <w:rPr>
                <w:color w:val="000000"/>
              </w:rPr>
              <w:lastRenderedPageBreak/>
              <w:t>13</w:t>
            </w:r>
          </w:p>
        </w:tc>
        <w:tc>
          <w:tcPr>
            <w:tcW w:w="478" w:type="pct"/>
            <w:vAlign w:val="center"/>
          </w:tcPr>
          <w:p w14:paraId="22612C9D" w14:textId="539EC10A" w:rsidR="007A2D3E" w:rsidRPr="00D15D13" w:rsidRDefault="00D15D13" w:rsidP="00D15D13">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General</w:t>
            </w:r>
          </w:p>
        </w:tc>
        <w:tc>
          <w:tcPr>
            <w:tcW w:w="2171" w:type="pct"/>
            <w:vAlign w:val="center"/>
          </w:tcPr>
          <w:p w14:paraId="04F94101" w14:textId="2AA92DF9" w:rsidR="007A2D3E" w:rsidRDefault="007A2D3E" w:rsidP="007A2D3E">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lang w:val="id-ID"/>
              </w:rPr>
              <w:t>The ITT anticipates that bidders may assemble a consortium, with the Project Coordinator acting as prime contractor and subcontracting consortium members. Please confirm whether each individual specialist subcontractor is required to maintain £5m Professional Indemnity, £5m Public Liability and £5m Employers' Liability cover in their own name, or whether specialist subcontractors may operate under appropriate insurance arrangements maintained by the prime contractor, with the prime contractor retaining full contractual responsibility.</w:t>
            </w:r>
          </w:p>
        </w:tc>
        <w:tc>
          <w:tcPr>
            <w:tcW w:w="2163" w:type="pct"/>
            <w:gridSpan w:val="2"/>
          </w:tcPr>
          <w:p w14:paraId="693F7F27" w14:textId="0E93B367" w:rsidR="007A2D3E" w:rsidRPr="00F1721C" w:rsidRDefault="00F1721C" w:rsidP="00F1721C">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color w:val="000000"/>
              </w:rPr>
              <w:t>Where a consortium is proposed, the</w:t>
            </w:r>
            <w:r w:rsidR="00704833">
              <w:rPr>
                <w:color w:val="000000"/>
              </w:rPr>
              <w:t xml:space="preserve"> OWA will</w:t>
            </w:r>
            <w:r>
              <w:rPr>
                <w:color w:val="000000"/>
              </w:rPr>
              <w:t xml:space="preserve"> contract with the Project Coordinator, who would subcontract any other consortium members. The Project Coordinator would remain contractually responsible for delivery of the project, including the work of any subcontractors. Insurance requirements should be considered in line with the OWA Stage IV Contractors’ Conditions and any requirements applicable to the contracting entity.</w:t>
            </w:r>
          </w:p>
        </w:tc>
      </w:tr>
      <w:tr w:rsidR="007A2D3E" w14:paraId="75015078" w14:textId="77777777" w:rsidTr="004B06B2">
        <w:tc>
          <w:tcPr>
            <w:cnfStyle w:val="001000000000" w:firstRow="0" w:lastRow="0" w:firstColumn="1" w:lastColumn="0" w:oddVBand="0" w:evenVBand="0" w:oddHBand="0" w:evenHBand="0" w:firstRowFirstColumn="0" w:firstRowLastColumn="0" w:lastRowFirstColumn="0" w:lastRowLastColumn="0"/>
            <w:tcW w:w="188" w:type="pct"/>
          </w:tcPr>
          <w:p w14:paraId="0156808D" w14:textId="0E75E68D" w:rsidR="007A2D3E" w:rsidRPr="00D15D13" w:rsidRDefault="00D15D13" w:rsidP="00D15D13">
            <w:pPr>
              <w:rPr>
                <w:kern w:val="2"/>
                <w:lang w:eastAsia="en-GB"/>
                <w14:ligatures w14:val="standardContextual"/>
              </w:rPr>
            </w:pPr>
            <w:r>
              <w:t>14</w:t>
            </w:r>
          </w:p>
        </w:tc>
        <w:tc>
          <w:tcPr>
            <w:tcW w:w="478" w:type="pct"/>
            <w:vAlign w:val="center"/>
          </w:tcPr>
          <w:p w14:paraId="6E8E4C4E" w14:textId="58E5411C" w:rsidR="007A2D3E" w:rsidRPr="00D15D13" w:rsidRDefault="00D15D13" w:rsidP="00D15D13">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General</w:t>
            </w:r>
          </w:p>
        </w:tc>
        <w:tc>
          <w:tcPr>
            <w:tcW w:w="2171" w:type="pct"/>
            <w:vAlign w:val="center"/>
          </w:tcPr>
          <w:p w14:paraId="6412372F" w14:textId="65AF16E2" w:rsidR="007A2D3E" w:rsidRDefault="007A2D3E" w:rsidP="007A2D3E">
            <w:pP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lang w:val="id-ID"/>
              </w:rPr>
              <w:t>Please confirm that pre-existing contractor methodologies, assessment frameworks, threat-modelling approaches, templates, tools and associated know-how identified within the Tender as Background Knowledge and IPR will remain the property of the Contractor, notwithstanding their use, adaptation or incorporation within Project Deliverables.</w:t>
            </w:r>
          </w:p>
        </w:tc>
        <w:tc>
          <w:tcPr>
            <w:tcW w:w="2163" w:type="pct"/>
            <w:gridSpan w:val="2"/>
          </w:tcPr>
          <w:p w14:paraId="29DBEC34" w14:textId="0445E78C" w:rsidR="007A2D3E" w:rsidRPr="00F1721C" w:rsidRDefault="00F1721C" w:rsidP="00F1721C">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t>The OWA Stage IV Contractors’ Conditions distinguish between Background Knowledge/IP and Arising Knowledge/IP. Pre-existing contractor methodologies, assessment frameworks, templates, tools and associated know-how identified as Background Knowledge/IP would remain the property of the Contractor. Arising Knowledge/IP generated as a direct result of the project would be treated in accordance with the OWA Stage IV Contractors’ Conditions.</w:t>
            </w:r>
          </w:p>
        </w:tc>
      </w:tr>
      <w:tr w:rsidR="007A2D3E" w14:paraId="11636FA2" w14:textId="77777777" w:rsidTr="004B06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 w:type="pct"/>
          </w:tcPr>
          <w:p w14:paraId="4E78F3AB" w14:textId="3ED6F92E" w:rsidR="007A2D3E" w:rsidRPr="00D15D13" w:rsidRDefault="00D15D13" w:rsidP="00D15D13">
            <w:pPr>
              <w:rPr>
                <w:kern w:val="2"/>
                <w:lang w:eastAsia="en-GB"/>
                <w14:ligatures w14:val="standardContextual"/>
              </w:rPr>
            </w:pPr>
            <w:r>
              <w:rPr>
                <w:color w:val="000000"/>
              </w:rPr>
              <w:t>15</w:t>
            </w:r>
          </w:p>
        </w:tc>
        <w:tc>
          <w:tcPr>
            <w:tcW w:w="478" w:type="pct"/>
            <w:vAlign w:val="center"/>
          </w:tcPr>
          <w:p w14:paraId="1128CC81" w14:textId="48C3748E" w:rsidR="007A2D3E" w:rsidRPr="00D15D13" w:rsidRDefault="00D15D13" w:rsidP="00D15D13">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vAlign w:val="center"/>
          </w:tcPr>
          <w:p w14:paraId="653A1B1F" w14:textId="729E7B74" w:rsidR="007A2D3E" w:rsidRDefault="007A2D3E" w:rsidP="007A2D3E">
            <w:pP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lang w:val="id-ID"/>
              </w:rPr>
              <w:t>Please confirm what existing threat assessments, incident data, security risk assessments and relevant government/industry threat reporting will be made available to the Contractor, and whether OWA Partners will provide relevant anonymised or sanitised incident information to support WP1.</w:t>
            </w:r>
          </w:p>
        </w:tc>
        <w:tc>
          <w:tcPr>
            <w:tcW w:w="2163" w:type="pct"/>
            <w:gridSpan w:val="2"/>
          </w:tcPr>
          <w:p w14:paraId="012F5F30" w14:textId="354A2265" w:rsidR="007A2D3E" w:rsidRPr="00F1721C" w:rsidRDefault="00F1721C" w:rsidP="00F1721C">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color w:val="000000"/>
              </w:rPr>
              <w:t xml:space="preserve">Relevant input data, threat assessments, incident information or security risk assessments may be made available where OWA Partners or other relevant organisations are able and willing to share them, subject to confidentiality, NDA and information-handling requirements. Bidders should not assume access to specific datasets or a guaranteed volume of incident information </w:t>
            </w:r>
            <w:r>
              <w:rPr>
                <w:color w:val="000000"/>
              </w:rPr>
              <w:lastRenderedPageBreak/>
              <w:t>and should clearly state any assumptions in their Tender. The appointed contractor will also be expected to liaise with relevant contacts and draw on public sources, their own expertise and stakeholder engagement to supplement any information provided through the OWA.</w:t>
            </w:r>
          </w:p>
        </w:tc>
      </w:tr>
      <w:tr w:rsidR="006C4291" w14:paraId="045E99F1" w14:textId="77777777" w:rsidTr="00AC10DD">
        <w:tc>
          <w:tcPr>
            <w:cnfStyle w:val="001000000000" w:firstRow="0" w:lastRow="0" w:firstColumn="1" w:lastColumn="0" w:oddVBand="0" w:evenVBand="0" w:oddHBand="0" w:evenHBand="0" w:firstRowFirstColumn="0" w:firstRowLastColumn="0" w:lastRowFirstColumn="0" w:lastRowLastColumn="0"/>
            <w:tcW w:w="188" w:type="pct"/>
          </w:tcPr>
          <w:p w14:paraId="5DE0D522" w14:textId="46095B26" w:rsidR="006C4291" w:rsidRPr="00D15D13" w:rsidRDefault="00D15D13" w:rsidP="00D15D13">
            <w:pPr>
              <w:rPr>
                <w:kern w:val="2"/>
                <w:lang w:eastAsia="en-GB"/>
                <w14:ligatures w14:val="standardContextual"/>
              </w:rPr>
            </w:pPr>
            <w:r>
              <w:lastRenderedPageBreak/>
              <w:t>16</w:t>
            </w:r>
          </w:p>
        </w:tc>
        <w:tc>
          <w:tcPr>
            <w:tcW w:w="478" w:type="pct"/>
            <w:vAlign w:val="center"/>
          </w:tcPr>
          <w:p w14:paraId="155D731D" w14:textId="73E484BE" w:rsidR="006C4291" w:rsidRPr="00D15D13" w:rsidRDefault="00D15D13" w:rsidP="00D15D13">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tcPr>
          <w:p w14:paraId="3D15D961" w14:textId="1A2A4F28" w:rsidR="006C4291" w:rsidRDefault="006C4291" w:rsidP="006C4291">
            <w:pPr>
              <w:cnfStyle w:val="000000000000" w:firstRow="0" w:lastRow="0" w:firstColumn="0" w:lastColumn="0" w:oddVBand="0" w:evenVBand="0" w:oddHBand="0" w:evenHBand="0" w:firstRowFirstColumn="0" w:firstRowLastColumn="0" w:lastRowFirstColumn="0" w:lastRowLastColumn="0"/>
            </w:pPr>
            <w:r w:rsidRPr="00D3330F">
              <w:rPr>
                <w:rFonts w:eastAsia="Times New Roman"/>
              </w:rPr>
              <w:t>Has Carbon Trust already secured engagement commitments from relevant representatives, regulators and stakeholders, or is this expected to be led entirely by the contractor?</w:t>
            </w:r>
          </w:p>
        </w:tc>
        <w:tc>
          <w:tcPr>
            <w:tcW w:w="2163" w:type="pct"/>
            <w:gridSpan w:val="2"/>
          </w:tcPr>
          <w:p w14:paraId="0A4140C6" w14:textId="349B937C" w:rsidR="006C4291" w:rsidRPr="00F1721C" w:rsidRDefault="00F1721C" w:rsidP="00F1721C">
            <w:pPr>
              <w:cnfStyle w:val="000000000000" w:firstRow="0" w:lastRow="0" w:firstColumn="0" w:lastColumn="0" w:oddVBand="0" w:evenVBand="0" w:oddHBand="0" w:evenHBand="0" w:firstRowFirstColumn="0" w:firstRowLastColumn="0" w:lastRowFirstColumn="0" w:lastRowLastColumn="0"/>
              <w:rPr>
                <w:kern w:val="2"/>
                <w:lang w:eastAsia="en-GB"/>
                <w14:ligatures w14:val="standardContextual"/>
              </w:rPr>
            </w:pPr>
            <w:r>
              <w:t xml:space="preserve">The </w:t>
            </w:r>
            <w:r w:rsidR="005A248A">
              <w:t>OWA</w:t>
            </w:r>
            <w:r>
              <w:t xml:space="preserve"> is in communication with relevant industry groups working on offshore wind defence and security, such as the Wind</w:t>
            </w:r>
            <w:r w:rsidR="00B46285">
              <w:t xml:space="preserve"> </w:t>
            </w:r>
            <w:r>
              <w:t xml:space="preserve">Europe Defence Task Force and OWIC </w:t>
            </w:r>
            <w:proofErr w:type="spellStart"/>
            <w:r>
              <w:t>Security@Sea</w:t>
            </w:r>
            <w:proofErr w:type="spellEnd"/>
            <w:r>
              <w:t>. Where appropriate, the OWA may facilitate introductions to the appointed contractor. However, bidders should not assume that engagement commitments have already been secured from all relevant representatives, regulators or stakeholders. The appointed contractor will be expected to lead stakeholder engagement, use any initial introductions to identify appropriate contacts, and draw on their own network and experience to support the project needs.</w:t>
            </w:r>
          </w:p>
        </w:tc>
      </w:tr>
      <w:tr w:rsidR="006C4291" w14:paraId="018CD41F" w14:textId="77777777" w:rsidTr="00AC10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 w:type="pct"/>
          </w:tcPr>
          <w:p w14:paraId="3C4453E5" w14:textId="75306132" w:rsidR="006C4291" w:rsidRPr="00D15D13" w:rsidRDefault="00D15D13" w:rsidP="00D15D13">
            <w:pPr>
              <w:rPr>
                <w:kern w:val="2"/>
                <w:lang w:eastAsia="en-GB"/>
                <w14:ligatures w14:val="standardContextual"/>
              </w:rPr>
            </w:pPr>
            <w:r>
              <w:rPr>
                <w:color w:val="000000"/>
              </w:rPr>
              <w:t>17</w:t>
            </w:r>
          </w:p>
        </w:tc>
        <w:tc>
          <w:tcPr>
            <w:tcW w:w="478" w:type="pct"/>
            <w:vAlign w:val="center"/>
          </w:tcPr>
          <w:p w14:paraId="24534B84" w14:textId="00D28FF0" w:rsidR="006C4291" w:rsidRPr="00D15D13" w:rsidRDefault="00D15D13" w:rsidP="00D15D13">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rFonts w:ascii="Aptos Narrow" w:hAnsi="Aptos Narrow"/>
                <w:color w:val="000000"/>
                <w:sz w:val="22"/>
                <w:szCs w:val="22"/>
              </w:rPr>
              <w:t>Project specific</w:t>
            </w:r>
          </w:p>
        </w:tc>
        <w:tc>
          <w:tcPr>
            <w:tcW w:w="2171" w:type="pct"/>
          </w:tcPr>
          <w:p w14:paraId="2A84B9D5" w14:textId="642B7DCE" w:rsidR="006C4291" w:rsidRDefault="006C4291" w:rsidP="006C4291">
            <w:pPr>
              <w:cnfStyle w:val="000000100000" w:firstRow="0" w:lastRow="0" w:firstColumn="0" w:lastColumn="0" w:oddVBand="0" w:evenVBand="0" w:oddHBand="1" w:evenHBand="0" w:firstRowFirstColumn="0" w:firstRowLastColumn="0" w:lastRowFirstColumn="0" w:lastRowLastColumn="0"/>
            </w:pPr>
            <w:r w:rsidRPr="00D3330F">
              <w:rPr>
                <w:rFonts w:eastAsia="Times New Roman"/>
              </w:rPr>
              <w:t>Is Carbon Trust expecting the surveillance review to remain high-level and strategic, or include technical assessment of specific vendor solutions?</w:t>
            </w:r>
          </w:p>
        </w:tc>
        <w:tc>
          <w:tcPr>
            <w:tcW w:w="2163" w:type="pct"/>
            <w:gridSpan w:val="2"/>
          </w:tcPr>
          <w:p w14:paraId="40D9E0AB" w14:textId="1B15FA9A" w:rsidR="006C4291" w:rsidRPr="00F1721C" w:rsidRDefault="00F1721C" w:rsidP="00F1721C">
            <w:pPr>
              <w:cnfStyle w:val="000000100000" w:firstRow="0" w:lastRow="0" w:firstColumn="0" w:lastColumn="0" w:oddVBand="0" w:evenVBand="0" w:oddHBand="1" w:evenHBand="0" w:firstRowFirstColumn="0" w:firstRowLastColumn="0" w:lastRowFirstColumn="0" w:lastRowLastColumn="0"/>
              <w:rPr>
                <w:kern w:val="2"/>
                <w:lang w:eastAsia="en-GB"/>
                <w14:ligatures w14:val="standardContextual"/>
              </w:rPr>
            </w:pPr>
            <w:r>
              <w:rPr>
                <w:color w:val="000000"/>
              </w:rPr>
              <w:t xml:space="preserve">The surveillance technology review should provide a strategic overview of relevant technologies and market solutions, while also assessing specific technology options where this is useful to understand </w:t>
            </w:r>
            <w:r w:rsidR="00105872">
              <w:rPr>
                <w:color w:val="000000"/>
              </w:rPr>
              <w:t xml:space="preserve">identified industry </w:t>
            </w:r>
            <w:r>
              <w:rPr>
                <w:color w:val="000000"/>
              </w:rPr>
              <w:t xml:space="preserve">capability gaps. </w:t>
            </w:r>
          </w:p>
        </w:tc>
      </w:tr>
    </w:tbl>
    <w:p w14:paraId="6F0730B5" w14:textId="77777777" w:rsidR="00CC7D7C" w:rsidRDefault="00CC7D7C" w:rsidP="00B3411D"/>
    <w:p w14:paraId="01E479EE" w14:textId="77777777" w:rsidR="00CC7D7C" w:rsidRDefault="00CC7D7C" w:rsidP="004C0EAC"/>
    <w:p w14:paraId="1C81B942" w14:textId="77777777" w:rsidR="00CC7D7C" w:rsidRDefault="00CC7D7C" w:rsidP="00CC7D7C">
      <w:pPr>
        <w:pStyle w:val="BodyText"/>
        <w:sectPr w:rsidR="00CC7D7C" w:rsidSect="00491C22">
          <w:headerReference w:type="default" r:id="rId13"/>
          <w:footerReference w:type="default" r:id="rId14"/>
          <w:pgSz w:w="16840" w:h="11907" w:orient="landscape" w:code="9"/>
          <w:pgMar w:top="1418" w:right="1247" w:bottom="1247" w:left="1418" w:header="709" w:footer="709" w:gutter="0"/>
          <w:pgNumType w:start="1"/>
          <w:cols w:space="708"/>
          <w:docGrid w:linePitch="360"/>
        </w:sectPr>
      </w:pPr>
    </w:p>
    <w:p w14:paraId="7D00DABB" w14:textId="77777777" w:rsidR="00CC7D7C" w:rsidRDefault="00CC7D7C" w:rsidP="00CC7D7C">
      <w:pPr>
        <w:pStyle w:val="BodyText"/>
      </w:pPr>
    </w:p>
    <w:p w14:paraId="24D42422" w14:textId="77777777" w:rsidR="00CC7D7C" w:rsidRDefault="00CC7D7C" w:rsidP="00CC7D7C">
      <w:pPr>
        <w:pStyle w:val="TOFtitle"/>
      </w:pPr>
    </w:p>
    <w:p w14:paraId="797AEAEA" w14:textId="77777777" w:rsidR="00292975" w:rsidRDefault="00292975" w:rsidP="00E6786F">
      <w:pPr>
        <w:pStyle w:val="BackPageURL"/>
      </w:pPr>
    </w:p>
    <w:p w14:paraId="7B93068B" w14:textId="77777777" w:rsidR="00292975" w:rsidRDefault="00292975" w:rsidP="00E6786F">
      <w:pPr>
        <w:pStyle w:val="BackPageURL"/>
      </w:pPr>
    </w:p>
    <w:p w14:paraId="526F064B" w14:textId="77777777" w:rsidR="00292975" w:rsidRDefault="00292975" w:rsidP="00E6786F">
      <w:pPr>
        <w:pStyle w:val="BackPageURL"/>
      </w:pPr>
    </w:p>
    <w:p w14:paraId="08515892" w14:textId="77777777" w:rsidR="00292975" w:rsidRDefault="00292975" w:rsidP="00E6786F">
      <w:pPr>
        <w:pStyle w:val="BackPageURL"/>
      </w:pPr>
    </w:p>
    <w:p w14:paraId="33BF8D0A" w14:textId="77777777" w:rsidR="00292975" w:rsidRDefault="00292975" w:rsidP="00E6786F">
      <w:pPr>
        <w:pStyle w:val="BackPageURL"/>
      </w:pPr>
    </w:p>
    <w:p w14:paraId="569294B8" w14:textId="77777777" w:rsidR="00292975" w:rsidRDefault="00292975" w:rsidP="00E6786F">
      <w:pPr>
        <w:pStyle w:val="BackPageURL"/>
      </w:pPr>
    </w:p>
    <w:p w14:paraId="506039C0" w14:textId="77777777" w:rsidR="00292975" w:rsidRDefault="00292975" w:rsidP="00E6786F">
      <w:pPr>
        <w:pStyle w:val="BackPageURL"/>
      </w:pPr>
    </w:p>
    <w:p w14:paraId="16944B9A" w14:textId="77777777" w:rsidR="00292975" w:rsidRDefault="00292975" w:rsidP="00E6786F">
      <w:pPr>
        <w:pStyle w:val="BackPageURL"/>
      </w:pPr>
    </w:p>
    <w:p w14:paraId="5225060C" w14:textId="77777777" w:rsidR="006A0327" w:rsidRDefault="006A0327" w:rsidP="00E6786F">
      <w:pPr>
        <w:pStyle w:val="BackPageURL"/>
      </w:pPr>
    </w:p>
    <w:p w14:paraId="7165CF8D" w14:textId="77777777" w:rsidR="006A0327" w:rsidRDefault="006A0327" w:rsidP="00E6786F">
      <w:pPr>
        <w:pStyle w:val="BackPageURL"/>
      </w:pPr>
    </w:p>
    <w:p w14:paraId="69D84237" w14:textId="77777777" w:rsidR="006A0327" w:rsidRDefault="006A0327" w:rsidP="00E6786F">
      <w:pPr>
        <w:pStyle w:val="BackPageURL"/>
      </w:pPr>
    </w:p>
    <w:p w14:paraId="28712AB3" w14:textId="77777777" w:rsidR="00292975" w:rsidRDefault="00292975" w:rsidP="00E6786F">
      <w:pPr>
        <w:pStyle w:val="BackPageURL"/>
      </w:pPr>
    </w:p>
    <w:p w14:paraId="187FCC07" w14:textId="77777777" w:rsidR="00E6786F" w:rsidRDefault="00E6786F" w:rsidP="00E6786F">
      <w:pPr>
        <w:pStyle w:val="BackPageURL"/>
      </w:pPr>
    </w:p>
    <w:p w14:paraId="79C2E874" w14:textId="77777777" w:rsidR="00E6786F" w:rsidRDefault="00E6786F" w:rsidP="00E6786F">
      <w:pPr>
        <w:pStyle w:val="BackPageURL"/>
      </w:pPr>
    </w:p>
    <w:p w14:paraId="455CA805" w14:textId="77777777" w:rsidR="006A0327" w:rsidRDefault="006A0327" w:rsidP="00E6786F">
      <w:pPr>
        <w:pStyle w:val="BackPageURL"/>
      </w:pPr>
    </w:p>
    <w:p w14:paraId="0EA6A7A7" w14:textId="77777777" w:rsidR="00CE2BE1" w:rsidRPr="00A71646" w:rsidRDefault="00CE2BE1" w:rsidP="00E6786F">
      <w:pPr>
        <w:pStyle w:val="BackPageURL"/>
      </w:pPr>
      <w:r w:rsidRPr="00A71646">
        <w:t>carbontrust.com</w:t>
      </w:r>
    </w:p>
    <w:p w14:paraId="2A7A715C" w14:textId="77777777" w:rsidR="00CE2BE1" w:rsidRPr="00D04943" w:rsidRDefault="00CE2BE1" w:rsidP="004C47F4">
      <w:pPr>
        <w:pStyle w:val="BackPageTel"/>
        <w:spacing w:before="120"/>
      </w:pPr>
      <w:r w:rsidRPr="00D04943">
        <w:t>+44 (0) 20 7170 7000</w:t>
      </w:r>
    </w:p>
    <w:p w14:paraId="20501E6E" w14:textId="77777777" w:rsidR="00C77AB1" w:rsidRPr="00BB37A8" w:rsidRDefault="00C77AB1" w:rsidP="00C77AB1">
      <w:r w:rsidRPr="00BB37A8">
        <w:t xml:space="preserve">Whilst reasonable steps have been taken to ensure that the information contained within this publication is correct, the authors, the Carbon Trust, its agents, contractors and sub-contractors give no warranty and make no representation as to its accuracy and accept no liability for any errors or omissions. Any trademarks, service marks or logos used in this publication, and copyright in it, are the property of the Carbon Trust. Nothing in this publication shall be construed as granting any licence or right to use or reproduce any of the trademarks, service marks, logos, copyright or any proprietary information in any way without the Carbon Trust’s prior written permission. The Carbon Trust enforces infringements of its intellectual property rights to the full extent permitted by law. </w:t>
      </w:r>
    </w:p>
    <w:p w14:paraId="3CAC161D" w14:textId="77777777" w:rsidR="00C77AB1" w:rsidRPr="00BB37A8" w:rsidRDefault="00C77AB1" w:rsidP="00C77AB1">
      <w:r w:rsidRPr="00BB37A8">
        <w:t xml:space="preserve">The Carbon Trust is a company limited by guarantee and registered in England and Wales under Company number 4190230 with its Registered Office at: </w:t>
      </w:r>
      <w:r>
        <w:t>Level 5, Arbor</w:t>
      </w:r>
      <w:r w:rsidRPr="00BB37A8">
        <w:t>, 2</w:t>
      </w:r>
      <w:r>
        <w:t>55 Blackfriars road</w:t>
      </w:r>
      <w:r w:rsidRPr="00BB37A8">
        <w:t>, London SE1 9</w:t>
      </w:r>
      <w:r>
        <w:t>AX</w:t>
      </w:r>
      <w:r w:rsidRPr="00BB37A8">
        <w:t>.</w:t>
      </w:r>
    </w:p>
    <w:p w14:paraId="30D91A32" w14:textId="77777777" w:rsidR="00C77AB1" w:rsidRPr="00BB37A8" w:rsidRDefault="00C77AB1" w:rsidP="00C77AB1">
      <w:r w:rsidRPr="00BB37A8">
        <w:t>© The Carbon Trust 202</w:t>
      </w:r>
      <w:r>
        <w:t>3</w:t>
      </w:r>
      <w:r w:rsidRPr="00BB37A8">
        <w:t>. All rights reserved.</w:t>
      </w:r>
    </w:p>
    <w:p w14:paraId="13CECAD5" w14:textId="77777777" w:rsidR="00C77AB1" w:rsidRDefault="00C77AB1" w:rsidP="00C77AB1">
      <w:r w:rsidRPr="00BB37A8">
        <w:t>Published in the UK: 202</w:t>
      </w:r>
      <w:r>
        <w:t>3</w:t>
      </w:r>
    </w:p>
    <w:p w14:paraId="747BE620" w14:textId="3AC12FB6" w:rsidR="007C47C1" w:rsidRDefault="007C47C1" w:rsidP="00C77AB1"/>
    <w:sectPr w:rsidR="007C47C1" w:rsidSect="00A47D0D">
      <w:pgSz w:w="11907" w:h="16840" w:code="9"/>
      <w:pgMar w:top="1418" w:right="1418" w:bottom="1247" w:left="124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AEDDB" w14:textId="77777777" w:rsidR="00904A0C" w:rsidRDefault="00904A0C" w:rsidP="00E6786F">
      <w:r>
        <w:separator/>
      </w:r>
    </w:p>
  </w:endnote>
  <w:endnote w:type="continuationSeparator" w:id="0">
    <w:p w14:paraId="22AAA7E0" w14:textId="77777777" w:rsidR="00904A0C" w:rsidRDefault="00904A0C" w:rsidP="00E6786F">
      <w:r>
        <w:continuationSeparator/>
      </w:r>
    </w:p>
  </w:endnote>
  <w:endnote w:type="continuationNotice" w:id="1">
    <w:p w14:paraId="290E5C57" w14:textId="77777777" w:rsidR="00904A0C" w:rsidRDefault="00904A0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OT">
    <w:altName w:val="Calibri"/>
    <w:panose1 w:val="00000000000000000000"/>
    <w:charset w:val="00"/>
    <w:family w:val="swiss"/>
    <w:notTrueType/>
    <w:pitch w:val="variable"/>
    <w:sig w:usb0="800000AF" w:usb1="4000207B" w:usb2="00000008" w:usb3="00000000" w:csb0="00000001" w:csb1="00000000"/>
  </w:font>
  <w:font w:name="Roboto">
    <w:altName w:val="Roboto"/>
    <w:panose1 w:val="02000000000000000000"/>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rimson Pro">
    <w:altName w:val="Calibri"/>
    <w:charset w:val="00"/>
    <w:family w:val="auto"/>
    <w:pitch w:val="variable"/>
    <w:sig w:usb0="A00000FF" w:usb1="5000E04B" w:usb2="00000000" w:usb3="00000000" w:csb0="00000193" w:csb1="00000000"/>
  </w:font>
  <w:font w:name="Lato Black">
    <w:charset w:val="00"/>
    <w:family w:val="swiss"/>
    <w:pitch w:val="variable"/>
    <w:sig w:usb0="E10002FF" w:usb1="5000ECFF" w:usb2="00000021" w:usb3="00000000" w:csb0="0000019F" w:csb1="00000000"/>
  </w:font>
  <w:font w:name="DINOT-Bold">
    <w:altName w:val="Calibri"/>
    <w:panose1 w:val="00000000000000000000"/>
    <w:charset w:val="00"/>
    <w:family w:val="swiss"/>
    <w:notTrueType/>
    <w:pitch w:val="variable"/>
    <w:sig w:usb0="800002AF" w:usb1="4000207B" w:usb2="00000008" w:usb3="00000000" w:csb0="00000001" w:csb1="00000000"/>
  </w:font>
  <w:font w:name="Plantin Std">
    <w:panose1 w:val="00000000000000000000"/>
    <w:charset w:val="00"/>
    <w:family w:val="roman"/>
    <w:notTrueType/>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79F9" w14:textId="77777777" w:rsidR="00705A76" w:rsidRDefault="00705A76">
    <w:pPr>
      <w:pStyle w:val="Footer"/>
    </w:pPr>
    <w:r w:rsidRPr="00705A76">
      <w:rPr>
        <w:noProof/>
      </w:rPr>
      <w:drawing>
        <wp:anchor distT="0" distB="0" distL="114300" distR="114300" simplePos="0" relativeHeight="251658242" behindDoc="0" locked="0" layoutInCell="1" allowOverlap="1" wp14:anchorId="00624EB8" wp14:editId="56729653">
          <wp:simplePos x="0" y="0"/>
          <wp:positionH relativeFrom="page">
            <wp:align>left</wp:align>
          </wp:positionH>
          <wp:positionV relativeFrom="paragraph">
            <wp:posOffset>-2803298</wp:posOffset>
          </wp:positionV>
          <wp:extent cx="4982845" cy="2625725"/>
          <wp:effectExtent l="0" t="0" r="8255" b="3175"/>
          <wp:wrapSquare wrapText="bothSides"/>
          <wp:docPr id="70" name="Picture 70">
            <a:extLst xmlns:a="http://schemas.openxmlformats.org/drawingml/2006/main">
              <a:ext uri="{FF2B5EF4-FFF2-40B4-BE49-F238E27FC236}">
                <a16:creationId xmlns:a16="http://schemas.microsoft.com/office/drawing/2014/main" id="{159B7BEA-11E9-4DCD-8352-B9D80ABF5F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59B7BEA-11E9-4DCD-8352-B9D80ABF5F0F}"/>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982845" cy="262572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D616F" w14:textId="77777777" w:rsidR="004C47F4" w:rsidRPr="004C47F4" w:rsidRDefault="004C47F4" w:rsidP="004C47F4">
    <w:pPr>
      <w:pStyle w:val="Footer"/>
      <w:ind w:right="-567"/>
      <w:jc w:val="right"/>
      <w:rPr>
        <w:rFonts w:asciiTheme="majorHAnsi" w:hAnsiTheme="majorHAnsi" w:cstheme="majorHAnsi"/>
        <w:color w:val="2147E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F6FED" w14:textId="77777777" w:rsidR="00904A0C" w:rsidRPr="002D420D" w:rsidRDefault="00904A0C" w:rsidP="00E6786F">
      <w:r w:rsidRPr="002D420D">
        <w:separator/>
      </w:r>
    </w:p>
  </w:footnote>
  <w:footnote w:type="continuationSeparator" w:id="0">
    <w:p w14:paraId="3C30A966" w14:textId="77777777" w:rsidR="00904A0C" w:rsidRDefault="00904A0C" w:rsidP="00E6786F">
      <w:r>
        <w:continuationSeparator/>
      </w:r>
    </w:p>
  </w:footnote>
  <w:footnote w:type="continuationNotice" w:id="1">
    <w:p w14:paraId="64EC2AB3" w14:textId="77777777" w:rsidR="00904A0C" w:rsidRDefault="00904A0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D623" w14:textId="61162790" w:rsidR="00C83A68" w:rsidRDefault="00D1087C" w:rsidP="00E6786F">
    <w:r>
      <w:rPr>
        <w:noProof/>
      </w:rPr>
      <w:drawing>
        <wp:anchor distT="0" distB="0" distL="114300" distR="114300" simplePos="0" relativeHeight="251658240" behindDoc="0" locked="0" layoutInCell="1" allowOverlap="1" wp14:anchorId="710113DD" wp14:editId="5163F23B">
          <wp:simplePos x="0" y="0"/>
          <wp:positionH relativeFrom="column">
            <wp:posOffset>5096510</wp:posOffset>
          </wp:positionH>
          <wp:positionV relativeFrom="paragraph">
            <wp:posOffset>83185</wp:posOffset>
          </wp:positionV>
          <wp:extent cx="1161415" cy="747395"/>
          <wp:effectExtent l="0" t="0" r="635" b="0"/>
          <wp:wrapSquare wrapText="bothSides"/>
          <wp:docPr id="68" name="Picture 6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1415" cy="747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3A68">
      <w:rPr>
        <w:noProof/>
      </w:rPr>
      <mc:AlternateContent>
        <mc:Choice Requires="wps">
          <w:drawing>
            <wp:anchor distT="0" distB="0" distL="114300" distR="114300" simplePos="0" relativeHeight="251658241" behindDoc="0" locked="0" layoutInCell="1" allowOverlap="1" wp14:anchorId="02509F79" wp14:editId="6A0296DB">
              <wp:simplePos x="0" y="0"/>
              <wp:positionH relativeFrom="column">
                <wp:posOffset>478155</wp:posOffset>
              </wp:positionH>
              <wp:positionV relativeFrom="paragraph">
                <wp:posOffset>812800</wp:posOffset>
              </wp:positionV>
              <wp:extent cx="635000" cy="635000"/>
              <wp:effectExtent l="0" t="0" r="0" b="0"/>
              <wp:wrapNone/>
              <wp:docPr id="1" name="Rectangle 1"/>
              <wp:cNvGraphicFramePr/>
              <a:graphic xmlns:a="http://schemas.openxmlformats.org/drawingml/2006/main">
                <a:graphicData uri="http://schemas.microsoft.com/office/word/2010/wordprocessingShape">
                  <wps:wsp>
                    <wps:cNvSpPr/>
                    <wps:spPr>
                      <a:xfrm>
                        <a:off x="0" y="0"/>
                        <a:ext cx="635000" cy="63500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8E7190" id="Rectangle 1" o:spid="_x0000_s1026" style="position:absolute;margin-left:37.65pt;margin-top:64pt;width:50pt;height:50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" filled="f" fillcolor="#2147ed [3204]" stroked="f" strokecolor="#0a1f7c [1604]" strokeweight="2pt"/>
          </w:pict>
        </mc:Fallback>
      </mc:AlternateContent>
    </w:r>
    <w:r w:rsidR="00C83A68">
      <w:fldChar w:fldCharType="begin"/>
    </w:r>
    <w:r w:rsidR="00C83A68">
      <w:instrText xml:space="preserve"> if </w:instrText>
    </w:r>
    <w:r w:rsidR="00C83A68">
      <w:fldChar w:fldCharType="begin"/>
    </w:r>
    <w:r w:rsidR="00C83A68">
      <w:instrText xml:space="preserve"> docvariable page_header </w:instrText>
    </w:r>
    <w:r w:rsidR="00C83A68">
      <w:fldChar w:fldCharType="separate"/>
    </w:r>
    <w:r w:rsidR="0009271B">
      <w:rPr>
        <w:b/>
        <w:bCs/>
        <w:lang w:val="en-US"/>
      </w:rPr>
      <w:instrText>Error! No document variable supplied.</w:instrText>
    </w:r>
    <w:r w:rsidR="00C83A68">
      <w:fldChar w:fldCharType="end"/>
    </w:r>
    <w:r w:rsidR="00C83A68">
      <w:instrText xml:space="preserve">  = "Error! No document variable supplied." "" </w:instrText>
    </w:r>
    <w:r w:rsidR="00C83A68">
      <w:fldChar w:fldCharType="begin"/>
    </w:r>
    <w:r w:rsidR="00C83A68">
      <w:instrText xml:space="preserve"> docvariable page_header </w:instrText>
    </w:r>
    <w:r w:rsidR="00C83A68">
      <w:fldChar w:fldCharType="end"/>
    </w:r>
    <w:r w:rsidR="00C83A6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C81D" w14:textId="77777777" w:rsidR="004C47F4" w:rsidRPr="004C47F4" w:rsidRDefault="004C47F4" w:rsidP="004C4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C6136"/>
    <w:multiLevelType w:val="hybridMultilevel"/>
    <w:tmpl w:val="1AD83A9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6BC0C04"/>
    <w:multiLevelType w:val="hybridMultilevel"/>
    <w:tmpl w:val="FC722C2E"/>
    <w:lvl w:ilvl="0" w:tplc="9EC6BFF0">
      <w:start w:val="1"/>
      <w:numFmt w:val="bullet"/>
      <w:pStyle w:val="Bullettable"/>
      <w:lvlText w:val=""/>
      <w:lvlJc w:val="left"/>
      <w:pPr>
        <w:ind w:left="360" w:hanging="360"/>
      </w:pPr>
      <w:rPr>
        <w:rFonts w:ascii="Symbol" w:hAnsi="Symbol" w:hint="default"/>
        <w:color w:val="2147E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445B75"/>
    <w:multiLevelType w:val="hybridMultilevel"/>
    <w:tmpl w:val="FDE277F0"/>
    <w:lvl w:ilvl="0" w:tplc="DAEC2B16">
      <w:start w:val="1"/>
      <w:numFmt w:val="bullet"/>
      <w:pStyle w:val="ListBullet2"/>
      <w:lvlText w:val="-"/>
      <w:lvlJc w:val="left"/>
      <w:pPr>
        <w:ind w:left="510" w:hanging="360"/>
      </w:pPr>
      <w:rPr>
        <w:rFonts w:ascii="Calibri" w:hAnsi="Calibri" w:hint="default"/>
        <w:color w:val="2147ED" w:themeColor="accent1"/>
      </w:rPr>
    </w:lvl>
    <w:lvl w:ilvl="1" w:tplc="08090003" w:tentative="1">
      <w:start w:val="1"/>
      <w:numFmt w:val="bullet"/>
      <w:lvlText w:val="o"/>
      <w:lvlJc w:val="left"/>
      <w:pPr>
        <w:ind w:left="1230" w:hanging="360"/>
      </w:pPr>
      <w:rPr>
        <w:rFonts w:ascii="Courier New" w:hAnsi="Courier New" w:cs="Courier New" w:hint="default"/>
      </w:rPr>
    </w:lvl>
    <w:lvl w:ilvl="2" w:tplc="9A5E75E6">
      <w:start w:val="1"/>
      <w:numFmt w:val="bullet"/>
      <w:pStyle w:val="ListBullet3"/>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3" w15:restartNumberingAfterBreak="0">
    <w:nsid w:val="175F4FFC"/>
    <w:multiLevelType w:val="hybridMultilevel"/>
    <w:tmpl w:val="270AFEEE"/>
    <w:lvl w:ilvl="0" w:tplc="FCBEC5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C63762"/>
    <w:multiLevelType w:val="multilevel"/>
    <w:tmpl w:val="87F094E8"/>
    <w:styleLink w:val="NumberList"/>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47"/>
        </w:tabs>
        <w:ind w:left="1247" w:hanging="680"/>
      </w:pPr>
      <w:rPr>
        <w:rFonts w:hint="default"/>
      </w:rPr>
    </w:lvl>
    <w:lvl w:ilvl="2">
      <w:start w:val="1"/>
      <w:numFmt w:val="decimal"/>
      <w:lvlText w:val="%1.%2.%3"/>
      <w:lvlJc w:val="left"/>
      <w:pPr>
        <w:tabs>
          <w:tab w:val="num" w:pos="1985"/>
        </w:tabs>
        <w:ind w:left="1985" w:hanging="73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F7D7A1C"/>
    <w:multiLevelType w:val="hybridMultilevel"/>
    <w:tmpl w:val="BF1C4F6A"/>
    <w:lvl w:ilvl="0" w:tplc="EDD0C61E">
      <w:start w:val="1"/>
      <w:numFmt w:val="lowerLetter"/>
      <w:pStyle w:val="ListNumber2"/>
      <w:lvlText w:val="%1."/>
      <w:lvlJc w:val="left"/>
      <w:pPr>
        <w:ind w:left="720" w:hanging="360"/>
      </w:pPr>
      <w:rPr>
        <w:rFonts w:hint="default"/>
        <w:color w:val="00007F" w:themeColor="accent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DF6F93"/>
    <w:multiLevelType w:val="multilevel"/>
    <w:tmpl w:val="95323414"/>
    <w:styleLink w:val="CCListNumbers"/>
    <w:lvl w:ilvl="0">
      <w:start w:val="1"/>
      <w:numFmt w:val="decimal"/>
      <w:lvlText w:val="%1."/>
      <w:lvlJc w:val="left"/>
      <w:pPr>
        <w:ind w:left="720" w:hanging="360"/>
      </w:pPr>
      <w:rPr>
        <w:rFonts w:hint="default"/>
        <w:color w:val="00007F" w:themeColor="accent4"/>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437"/>
        </w:tabs>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15:restartNumberingAfterBreak="0">
    <w:nsid w:val="35D858D8"/>
    <w:multiLevelType w:val="multilevel"/>
    <w:tmpl w:val="E0FCD960"/>
    <w:lvl w:ilvl="0">
      <w:start w:val="1"/>
      <w:numFmt w:val="decimal"/>
      <w:lvlText w:val="%1"/>
      <w:lvlJc w:val="left"/>
      <w:pPr>
        <w:ind w:left="720" w:hanging="720"/>
      </w:pPr>
      <w:rPr>
        <w:rFonts w:hint="default"/>
      </w:rPr>
    </w:lvl>
    <w:lvl w:ilvl="1">
      <w:start w:val="1"/>
      <w:numFmt w:val="decimal"/>
      <w:pStyle w:val="NumberedparagraphLegal-Level2"/>
      <w:lvlText w:val="%1.%2"/>
      <w:lvlJc w:val="left"/>
      <w:pPr>
        <w:ind w:left="720" w:hanging="720"/>
      </w:pPr>
      <w:rPr>
        <w:rFonts w:ascii="DINOT" w:hAnsi="DINOT" w:cs="DINOT" w:hint="default"/>
        <w:color w:val="00007F" w:themeColor="accent4"/>
        <w:sz w:val="20"/>
      </w:rPr>
    </w:lvl>
    <w:lvl w:ilvl="2">
      <w:start w:val="1"/>
      <w:numFmt w:val="decimal"/>
      <w:pStyle w:val="NumberedparagraphLegal-Level3"/>
      <w:lvlText w:val="%1.%2.%3"/>
      <w:lvlJc w:val="left"/>
      <w:pPr>
        <w:ind w:left="720" w:hanging="720"/>
      </w:pPr>
      <w:rPr>
        <w:rFonts w:asciiTheme="minorHAnsi" w:hAnsiTheme="minorHAnsi" w:cstheme="minorHAnsi" w:hint="default"/>
        <w:color w:val="00007F" w:themeColor="accent4"/>
        <w:sz w:val="2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92A3BDF"/>
    <w:multiLevelType w:val="hybridMultilevel"/>
    <w:tmpl w:val="C96852B6"/>
    <w:lvl w:ilvl="0" w:tplc="5742D774">
      <w:start w:val="1"/>
      <w:numFmt w:val="decimal"/>
      <w:pStyle w:val="Numberedlist"/>
      <w:lvlText w:val="%1."/>
      <w:lvlJc w:val="left"/>
      <w:pPr>
        <w:ind w:left="720" w:hanging="360"/>
      </w:pPr>
    </w:lvl>
    <w:lvl w:ilvl="1" w:tplc="28E42922" w:tentative="1">
      <w:start w:val="1"/>
      <w:numFmt w:val="lowerLetter"/>
      <w:lvlText w:val="%2."/>
      <w:lvlJc w:val="left"/>
      <w:pPr>
        <w:ind w:left="1440" w:hanging="360"/>
      </w:pPr>
    </w:lvl>
    <w:lvl w:ilvl="2" w:tplc="48F09A54" w:tentative="1">
      <w:start w:val="1"/>
      <w:numFmt w:val="lowerRoman"/>
      <w:lvlText w:val="%3."/>
      <w:lvlJc w:val="right"/>
      <w:pPr>
        <w:ind w:left="2160" w:hanging="180"/>
      </w:pPr>
    </w:lvl>
    <w:lvl w:ilvl="3" w:tplc="1A7EBDB0" w:tentative="1">
      <w:start w:val="1"/>
      <w:numFmt w:val="decimal"/>
      <w:lvlText w:val="%4."/>
      <w:lvlJc w:val="left"/>
      <w:pPr>
        <w:ind w:left="2880" w:hanging="360"/>
      </w:pPr>
    </w:lvl>
    <w:lvl w:ilvl="4" w:tplc="94C02A02" w:tentative="1">
      <w:start w:val="1"/>
      <w:numFmt w:val="lowerLetter"/>
      <w:lvlText w:val="%5."/>
      <w:lvlJc w:val="left"/>
      <w:pPr>
        <w:ind w:left="3600" w:hanging="360"/>
      </w:pPr>
    </w:lvl>
    <w:lvl w:ilvl="5" w:tplc="E7BEFA3E" w:tentative="1">
      <w:start w:val="1"/>
      <w:numFmt w:val="lowerRoman"/>
      <w:lvlText w:val="%6."/>
      <w:lvlJc w:val="right"/>
      <w:pPr>
        <w:ind w:left="4320" w:hanging="180"/>
      </w:pPr>
    </w:lvl>
    <w:lvl w:ilvl="6" w:tplc="E0BC3528" w:tentative="1">
      <w:start w:val="1"/>
      <w:numFmt w:val="decimal"/>
      <w:lvlText w:val="%7."/>
      <w:lvlJc w:val="left"/>
      <w:pPr>
        <w:ind w:left="5040" w:hanging="360"/>
      </w:pPr>
    </w:lvl>
    <w:lvl w:ilvl="7" w:tplc="A98CF9B0" w:tentative="1">
      <w:start w:val="1"/>
      <w:numFmt w:val="lowerLetter"/>
      <w:lvlText w:val="%8."/>
      <w:lvlJc w:val="left"/>
      <w:pPr>
        <w:ind w:left="5760" w:hanging="360"/>
      </w:pPr>
    </w:lvl>
    <w:lvl w:ilvl="8" w:tplc="88209746" w:tentative="1">
      <w:start w:val="1"/>
      <w:numFmt w:val="lowerRoman"/>
      <w:lvlText w:val="%9."/>
      <w:lvlJc w:val="right"/>
      <w:pPr>
        <w:ind w:left="6480" w:hanging="180"/>
      </w:pPr>
    </w:lvl>
  </w:abstractNum>
  <w:abstractNum w:abstractNumId="9" w15:restartNumberingAfterBreak="0">
    <w:nsid w:val="39302F29"/>
    <w:multiLevelType w:val="multilevel"/>
    <w:tmpl w:val="EC8679CC"/>
    <w:styleLink w:val="CCHeadings"/>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247"/>
        </w:tabs>
        <w:ind w:left="1247" w:hanging="1247"/>
      </w:pPr>
      <w:rPr>
        <w:rFonts w:hint="default"/>
      </w:rPr>
    </w:lvl>
    <w:lvl w:ilvl="2">
      <w:start w:val="1"/>
      <w:numFmt w:val="decimal"/>
      <w:lvlText w:val="%1.%2.%3"/>
      <w:lvlJc w:val="left"/>
      <w:pPr>
        <w:tabs>
          <w:tab w:val="num" w:pos="1247"/>
        </w:tabs>
        <w:ind w:left="1247" w:hanging="1247"/>
      </w:pPr>
      <w:rPr>
        <w:rFonts w:hint="default"/>
      </w:rPr>
    </w:lvl>
    <w:lvl w:ilvl="3">
      <w:start w:val="1"/>
      <w:numFmt w:val="decimal"/>
      <w:lvlText w:val="%1.%2.%3.%4"/>
      <w:lvlJc w:val="left"/>
      <w:pPr>
        <w:tabs>
          <w:tab w:val="num" w:pos="1247"/>
        </w:tabs>
        <w:ind w:left="1247" w:hanging="124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C136F13"/>
    <w:multiLevelType w:val="hybridMultilevel"/>
    <w:tmpl w:val="91529100"/>
    <w:lvl w:ilvl="0" w:tplc="08090001">
      <w:start w:val="1"/>
      <w:numFmt w:val="bullet"/>
      <w:lvlText w:val=""/>
      <w:lvlJc w:val="left"/>
      <w:pPr>
        <w:ind w:left="720" w:hanging="360"/>
      </w:pPr>
      <w:rPr>
        <w:rFonts w:ascii="Symbol" w:hAnsi="Symbol" w:hint="default"/>
      </w:rPr>
    </w:lvl>
    <w:lvl w:ilvl="1" w:tplc="139EFB28">
      <w:numFmt w:val="bullet"/>
      <w:lvlText w:val="•"/>
      <w:lvlJc w:val="left"/>
      <w:pPr>
        <w:ind w:left="1800" w:hanging="720"/>
      </w:pPr>
      <w:rPr>
        <w:rFonts w:ascii="Verdana" w:eastAsiaTheme="minorHAnsi"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7B7E13"/>
    <w:multiLevelType w:val="hybridMultilevel"/>
    <w:tmpl w:val="983A97EC"/>
    <w:lvl w:ilvl="0" w:tplc="293E9FE2">
      <w:start w:val="1"/>
      <w:numFmt w:val="bullet"/>
      <w:pStyle w:val="Bullet"/>
      <w:lvlText w:val=""/>
      <w:lvlJc w:val="left"/>
      <w:pPr>
        <w:ind w:left="720" w:hanging="360"/>
      </w:pPr>
      <w:rPr>
        <w:rFonts w:ascii="Symbol" w:hAnsi="Symbol" w:hint="default"/>
        <w:color w:val="2147ED" w:themeColor="accent1"/>
      </w:rPr>
    </w:lvl>
    <w:lvl w:ilvl="1" w:tplc="228A681E" w:tentative="1">
      <w:start w:val="1"/>
      <w:numFmt w:val="lowerLetter"/>
      <w:lvlText w:val="%2."/>
      <w:lvlJc w:val="left"/>
      <w:pPr>
        <w:ind w:left="1440" w:hanging="360"/>
      </w:pPr>
    </w:lvl>
    <w:lvl w:ilvl="2" w:tplc="E83A9032" w:tentative="1">
      <w:start w:val="1"/>
      <w:numFmt w:val="lowerRoman"/>
      <w:lvlText w:val="%3."/>
      <w:lvlJc w:val="right"/>
      <w:pPr>
        <w:ind w:left="2160" w:hanging="180"/>
      </w:pPr>
    </w:lvl>
    <w:lvl w:ilvl="3" w:tplc="6F3E1C28" w:tentative="1">
      <w:start w:val="1"/>
      <w:numFmt w:val="decimal"/>
      <w:lvlText w:val="%4."/>
      <w:lvlJc w:val="left"/>
      <w:pPr>
        <w:ind w:left="2880" w:hanging="360"/>
      </w:pPr>
    </w:lvl>
    <w:lvl w:ilvl="4" w:tplc="A7C4B326" w:tentative="1">
      <w:start w:val="1"/>
      <w:numFmt w:val="lowerLetter"/>
      <w:lvlText w:val="%5."/>
      <w:lvlJc w:val="left"/>
      <w:pPr>
        <w:ind w:left="3600" w:hanging="360"/>
      </w:pPr>
    </w:lvl>
    <w:lvl w:ilvl="5" w:tplc="6908E31C" w:tentative="1">
      <w:start w:val="1"/>
      <w:numFmt w:val="lowerRoman"/>
      <w:lvlText w:val="%6."/>
      <w:lvlJc w:val="right"/>
      <w:pPr>
        <w:ind w:left="4320" w:hanging="180"/>
      </w:pPr>
    </w:lvl>
    <w:lvl w:ilvl="6" w:tplc="4DB6C0E4" w:tentative="1">
      <w:start w:val="1"/>
      <w:numFmt w:val="decimal"/>
      <w:lvlText w:val="%7."/>
      <w:lvlJc w:val="left"/>
      <w:pPr>
        <w:ind w:left="5040" w:hanging="360"/>
      </w:pPr>
    </w:lvl>
    <w:lvl w:ilvl="7" w:tplc="9350D776" w:tentative="1">
      <w:start w:val="1"/>
      <w:numFmt w:val="lowerLetter"/>
      <w:lvlText w:val="%8."/>
      <w:lvlJc w:val="left"/>
      <w:pPr>
        <w:ind w:left="5760" w:hanging="360"/>
      </w:pPr>
    </w:lvl>
    <w:lvl w:ilvl="8" w:tplc="6494ECD2" w:tentative="1">
      <w:start w:val="1"/>
      <w:numFmt w:val="lowerRoman"/>
      <w:lvlText w:val="%9."/>
      <w:lvlJc w:val="right"/>
      <w:pPr>
        <w:ind w:left="6480" w:hanging="180"/>
      </w:pPr>
    </w:lvl>
  </w:abstractNum>
  <w:abstractNum w:abstractNumId="12" w15:restartNumberingAfterBreak="0">
    <w:nsid w:val="3CD8777E"/>
    <w:multiLevelType w:val="hybridMultilevel"/>
    <w:tmpl w:val="C610EA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E981584"/>
    <w:multiLevelType w:val="multilevel"/>
    <w:tmpl w:val="EC38C2C2"/>
    <w:lvl w:ilvl="0">
      <w:start w:val="1"/>
      <w:numFmt w:val="decimal"/>
      <w:pStyle w:val="AppendixH1"/>
      <w:suff w:val="space"/>
      <w:lvlText w:val="Appendix %1:"/>
      <w:lvlJc w:val="left"/>
      <w:pPr>
        <w:ind w:left="624" w:hanging="624"/>
      </w:pPr>
      <w:rPr>
        <w:rFonts w:ascii="Arial Bold" w:hAnsi="Arial Bold" w:hint="default"/>
        <w:b/>
        <w:i w:val="0"/>
        <w:color w:val="auto"/>
        <w:spacing w:val="-6"/>
        <w:sz w:val="36"/>
      </w:rPr>
    </w:lvl>
    <w:lvl w:ilvl="1">
      <w:start w:val="1"/>
      <w:numFmt w:val="decimal"/>
      <w:suff w:val="space"/>
      <w:lvlText w:val="%1.%2."/>
      <w:lvlJc w:val="left"/>
      <w:pPr>
        <w:ind w:left="2880" w:hanging="360"/>
      </w:pPr>
      <w:rPr>
        <w:rFonts w:ascii="Arial Bold" w:hAnsi="Arial Bold" w:hint="default"/>
        <w:b/>
        <w:i w:val="0"/>
      </w:rPr>
    </w:lvl>
    <w:lvl w:ilvl="2">
      <w:start w:val="1"/>
      <w:numFmt w:val="decimal"/>
      <w:suff w:val="space"/>
      <w:lvlText w:val="%1.%2.%3."/>
      <w:lvlJc w:val="left"/>
      <w:pPr>
        <w:ind w:left="3240" w:hanging="360"/>
      </w:pPr>
      <w:rPr>
        <w:rFonts w:ascii="Arial Bold" w:hAnsi="Arial Bold" w:hint="default"/>
        <w:b/>
        <w:i w:val="0"/>
        <w:caps w:val="0"/>
        <w:color w:val="2147ED" w:themeColor="accent1"/>
      </w:rPr>
    </w:lvl>
    <w:lvl w:ilvl="3">
      <w:start w:val="1"/>
      <w:numFmt w:val="decimal"/>
      <w:suff w:val="space"/>
      <w:lvlText w:val="%1.%2.%3.%4."/>
      <w:lvlJc w:val="left"/>
      <w:pPr>
        <w:ind w:left="3600" w:hanging="360"/>
      </w:pPr>
      <w:rPr>
        <w:rFonts w:ascii="Arial Bold" w:hAnsi="Arial Bold" w:hint="default"/>
        <w:b/>
        <w:i w:val="0"/>
      </w:rPr>
    </w:lvl>
    <w:lvl w:ilvl="4">
      <w:start w:val="1"/>
      <w:numFmt w:val="lowerLetter"/>
      <w:lvlText w:val="(%5)"/>
      <w:lvlJc w:val="left"/>
      <w:pPr>
        <w:ind w:left="3960" w:hanging="360"/>
      </w:pPr>
      <w:rPr>
        <w:rFonts w:ascii="Arial" w:hAnsi="Arial" w:hint="default"/>
      </w:rPr>
    </w:lvl>
    <w:lvl w:ilvl="5">
      <w:start w:val="1"/>
      <w:numFmt w:val="lowerRoman"/>
      <w:lvlText w:val="(%6)"/>
      <w:lvlJc w:val="left"/>
      <w:pPr>
        <w:ind w:left="4320" w:hanging="360"/>
      </w:pPr>
      <w:rPr>
        <w:rFonts w:ascii="Arial" w:hAnsi="Arial" w:hint="default"/>
      </w:rPr>
    </w:lvl>
    <w:lvl w:ilvl="6">
      <w:start w:val="1"/>
      <w:numFmt w:val="decimal"/>
      <w:lvlText w:val="%7."/>
      <w:lvlJc w:val="left"/>
      <w:pPr>
        <w:ind w:left="4680" w:hanging="360"/>
      </w:pPr>
      <w:rPr>
        <w:rFonts w:ascii="Arial" w:hAnsi="Arial" w:hint="default"/>
        <w:color w:val="2147ED" w:themeColor="accent1"/>
        <w:sz w:val="36"/>
      </w:rPr>
    </w:lvl>
    <w:lvl w:ilvl="7">
      <w:start w:val="1"/>
      <w:numFmt w:val="lowerLetter"/>
      <w:lvlText w:val="%8."/>
      <w:lvlJc w:val="left"/>
      <w:pPr>
        <w:ind w:left="5040" w:hanging="360"/>
      </w:pPr>
      <w:rPr>
        <w:rFonts w:ascii="Arial" w:hAnsi="Arial" w:hint="default"/>
      </w:rPr>
    </w:lvl>
    <w:lvl w:ilvl="8">
      <w:start w:val="1"/>
      <w:numFmt w:val="lowerRoman"/>
      <w:lvlText w:val="%9."/>
      <w:lvlJc w:val="left"/>
      <w:pPr>
        <w:ind w:left="5400" w:hanging="360"/>
      </w:pPr>
      <w:rPr>
        <w:rFonts w:ascii="Arial" w:hAnsi="Arial" w:hint="default"/>
      </w:rPr>
    </w:lvl>
  </w:abstractNum>
  <w:abstractNum w:abstractNumId="14" w15:restartNumberingAfterBreak="0">
    <w:nsid w:val="3FA13A65"/>
    <w:multiLevelType w:val="multilevel"/>
    <w:tmpl w:val="74624786"/>
    <w:styleLink w:val="Appendixheadings"/>
    <w:lvl w:ilvl="0">
      <w:start w:val="1"/>
      <w:numFmt w:val="decimal"/>
      <w:lvlText w:val="Appendix %1:"/>
      <w:lvlJc w:val="left"/>
      <w:pPr>
        <w:ind w:left="2520" w:hanging="360"/>
      </w:pPr>
      <w:rPr>
        <w:rFonts w:ascii="Crimson Pro" w:hAnsi="Crimson Pro" w:hint="default"/>
        <w:color w:val="2147ED" w:themeColor="accent1"/>
        <w:sz w:val="36"/>
      </w:rPr>
    </w:lvl>
    <w:lvl w:ilvl="1">
      <w:start w:val="1"/>
      <w:numFmt w:val="decimal"/>
      <w:lvlText w:val="%1.%2"/>
      <w:lvlJc w:val="left"/>
      <w:pPr>
        <w:ind w:left="2880" w:hanging="360"/>
      </w:pPr>
      <w:rPr>
        <w:rFonts w:ascii="Roboto" w:hAnsi="Roboto" w:hint="default"/>
        <w:b/>
      </w:rPr>
    </w:lvl>
    <w:lvl w:ilvl="2">
      <w:start w:val="1"/>
      <w:numFmt w:val="decimal"/>
      <w:lvlText w:val="%1.%2.%3"/>
      <w:lvlJc w:val="left"/>
      <w:pPr>
        <w:ind w:left="3240" w:hanging="360"/>
      </w:pPr>
      <w:rPr>
        <w:rFonts w:hint="default"/>
      </w:rPr>
    </w:lvl>
    <w:lvl w:ilvl="3">
      <w:start w:val="1"/>
      <w:numFmt w:val="decimal"/>
      <w:lvlText w:val="%1.%2.%3.%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decimal"/>
      <w:lvlText w:val="%7."/>
      <w:lvlJc w:val="left"/>
      <w:pPr>
        <w:ind w:left="4680" w:hanging="360"/>
      </w:pPr>
      <w:rPr>
        <w:rFonts w:ascii="Crimson Pro" w:hAnsi="Crimson Pro" w:hint="default"/>
        <w:color w:val="2147ED" w:themeColor="accent1"/>
        <w:sz w:val="36"/>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15" w15:restartNumberingAfterBreak="0">
    <w:nsid w:val="4280682A"/>
    <w:multiLevelType w:val="multilevel"/>
    <w:tmpl w:val="D48A43B4"/>
    <w:lvl w:ilvl="0">
      <w:start w:val="1"/>
      <w:numFmt w:val="decimal"/>
      <w:pStyle w:val="Tablenumbering"/>
      <w:lvlText w:val="%1."/>
      <w:lvlJc w:val="left"/>
      <w:pPr>
        <w:ind w:left="360" w:hanging="360"/>
      </w:pPr>
      <w:rPr>
        <w:rFonts w:hint="default"/>
        <w:b w:val="0"/>
        <w:i w:val="0"/>
        <w:color w:val="2147ED" w:themeColor="accent1"/>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77"/>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27F2389"/>
    <w:multiLevelType w:val="multilevel"/>
    <w:tmpl w:val="908E3668"/>
    <w:numStyleLink w:val="CCAppendixHeadings"/>
  </w:abstractNum>
  <w:abstractNum w:abstractNumId="17" w15:restartNumberingAfterBreak="0">
    <w:nsid w:val="5511279D"/>
    <w:multiLevelType w:val="hybridMultilevel"/>
    <w:tmpl w:val="2704380E"/>
    <w:lvl w:ilvl="0" w:tplc="9EF6C0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AF56F6"/>
    <w:multiLevelType w:val="singleLevel"/>
    <w:tmpl w:val="BB5A25D4"/>
    <w:lvl w:ilvl="0">
      <w:start w:val="1"/>
      <w:numFmt w:val="decimal"/>
      <w:pStyle w:val="ListNumber"/>
      <w:lvlText w:val="%1."/>
      <w:lvlJc w:val="left"/>
      <w:pPr>
        <w:ind w:left="720" w:hanging="360"/>
      </w:pPr>
      <w:rPr>
        <w:rFonts w:hint="default"/>
        <w:color w:val="2147ED" w:themeColor="accent1"/>
      </w:rPr>
    </w:lvl>
  </w:abstractNum>
  <w:abstractNum w:abstractNumId="19" w15:restartNumberingAfterBreak="0">
    <w:nsid w:val="575D559E"/>
    <w:multiLevelType w:val="multilevel"/>
    <w:tmpl w:val="5EB4A82A"/>
    <w:styleLink w:val="BulletList"/>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7"/>
        </w:tabs>
        <w:ind w:left="567" w:hanging="283"/>
      </w:pPr>
      <w:rPr>
        <w:rFonts w:ascii="Symbol" w:hAnsi="Symbol" w:hint="default"/>
        <w:color w:val="auto"/>
      </w:rPr>
    </w:lvl>
    <w:lvl w:ilvl="2">
      <w:start w:val="1"/>
      <w:numFmt w:val="bullet"/>
      <w:lvlText w:val=""/>
      <w:lvlJc w:val="left"/>
      <w:pPr>
        <w:tabs>
          <w:tab w:val="num" w:pos="851"/>
        </w:tabs>
        <w:ind w:left="851" w:hanging="284"/>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7743EDA"/>
    <w:multiLevelType w:val="hybridMultilevel"/>
    <w:tmpl w:val="ECB445D6"/>
    <w:lvl w:ilvl="0" w:tplc="B1406F1C">
      <w:start w:val="1"/>
      <w:numFmt w:val="lowerRoman"/>
      <w:pStyle w:val="ListNumber3"/>
      <w:lvlText w:val="%1."/>
      <w:lvlJc w:val="left"/>
      <w:pPr>
        <w:ind w:left="1437" w:hanging="360"/>
      </w:pPr>
      <w:rPr>
        <w:rFonts w:hint="default"/>
        <w:color w:val="2147ED" w:themeColor="accen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7E36EE3"/>
    <w:multiLevelType w:val="multilevel"/>
    <w:tmpl w:val="5B44D0D8"/>
    <w:lvl w:ilvl="0">
      <w:start w:val="1"/>
      <w:numFmt w:val="decimal"/>
      <w:pStyle w:val="Heading1Numbered"/>
      <w:suff w:val="space"/>
      <w:lvlText w:val="%1."/>
      <w:lvlJc w:val="left"/>
      <w:pPr>
        <w:ind w:left="454" w:hanging="454"/>
      </w:pPr>
      <w:rPr>
        <w:rFonts w:ascii="Arial Bold" w:hAnsi="Arial Bold" w:hint="default"/>
        <w:b/>
        <w:bCs w:val="0"/>
        <w:i w:val="0"/>
        <w:iCs w:val="0"/>
        <w:caps w:val="0"/>
        <w:smallCaps w:val="0"/>
        <w:strike w:val="0"/>
        <w:dstrike w:val="0"/>
        <w:outline w:val="0"/>
        <w:shadow w:val="0"/>
        <w:emboss w:val="0"/>
        <w:imprint w:val="0"/>
        <w:vanish w:val="0"/>
        <w:spacing w:val="0"/>
        <w:kern w:val="0"/>
        <w:position w:val="0"/>
        <w:sz w:val="40"/>
        <w:u w:val="none"/>
        <w:effect w:val="none"/>
        <w:vertAlign w:val="baseline"/>
        <w:em w:val="none"/>
        <w14:ligatures w14:val="none"/>
        <w14:numForm w14:val="default"/>
        <w14:numSpacing w14:val="default"/>
        <w14:stylisticSets/>
        <w14:cntxtAlts w14:val="0"/>
      </w:rPr>
    </w:lvl>
    <w:lvl w:ilvl="1">
      <w:start w:val="1"/>
      <w:numFmt w:val="decimal"/>
      <w:pStyle w:val="Heading2Numbered"/>
      <w:suff w:val="space"/>
      <w:lvlText w:val="%1.%2."/>
      <w:lvlJc w:val="left"/>
      <w:pPr>
        <w:ind w:left="567" w:hanging="567"/>
      </w:pPr>
      <w:rPr>
        <w:rFonts w:ascii="Arial Bold" w:hAnsi="Arial Bold" w:hint="default"/>
        <w:b/>
        <w:bCs w:val="0"/>
        <w:i w:val="0"/>
        <w:iCs w:val="0"/>
        <w:caps w:val="0"/>
        <w:smallCaps w:val="0"/>
        <w:strike w:val="0"/>
        <w:dstrike w:val="0"/>
        <w:outline w:val="0"/>
        <w:shadow w:val="0"/>
        <w:emboss w:val="0"/>
        <w:imprint w:val="0"/>
        <w:vanish w:val="0"/>
        <w:color w:val="auto"/>
        <w:spacing w:val="0"/>
        <w:kern w:val="0"/>
        <w:position w:val="0"/>
        <w:sz w:val="28"/>
        <w:u w:val="none"/>
        <w:effect w:val="none"/>
        <w:vertAlign w:val="baseline"/>
        <w:em w:val="none"/>
        <w14:ligatures w14:val="none"/>
        <w14:numForm w14:val="default"/>
        <w14:numSpacing w14:val="default"/>
        <w14:stylisticSets/>
        <w14:cntxtAlts w14:val="0"/>
      </w:rPr>
    </w:lvl>
    <w:lvl w:ilvl="2">
      <w:start w:val="1"/>
      <w:numFmt w:val="decimal"/>
      <w:pStyle w:val="Heading3Numbered"/>
      <w:suff w:val="space"/>
      <w:lvlText w:val="%1.%2.%3."/>
      <w:lvlJc w:val="left"/>
      <w:pPr>
        <w:ind w:left="624" w:hanging="624"/>
      </w:pPr>
      <w:rPr>
        <w:rFonts w:ascii="Arial Bold" w:hAnsi="Arial Bold" w:hint="default"/>
        <w:b/>
        <w:i w:val="0"/>
        <w:color w:val="2147ED" w:themeColor="accent1"/>
        <w:sz w:val="22"/>
      </w:rPr>
    </w:lvl>
    <w:lvl w:ilvl="3">
      <w:start w:val="1"/>
      <w:numFmt w:val="decimal"/>
      <w:pStyle w:val="Heading4Numbered"/>
      <w:suff w:val="space"/>
      <w:lvlText w:val="%1.%2.%3.%4."/>
      <w:lvlJc w:val="left"/>
      <w:pPr>
        <w:ind w:left="794" w:hanging="794"/>
      </w:pPr>
      <w:rPr>
        <w:rFonts w:ascii="Arial Bold" w:hAnsi="Arial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9AD0010"/>
    <w:multiLevelType w:val="multilevel"/>
    <w:tmpl w:val="0DDABCE8"/>
    <w:styleLink w:val="CCBullets"/>
    <w:lvl w:ilvl="0">
      <w:start w:val="1"/>
      <w:numFmt w:val="bullet"/>
      <w:pStyle w:val="ListBullet"/>
      <w:lvlText w:val="&gt;"/>
      <w:lvlJc w:val="left"/>
      <w:pPr>
        <w:ind w:left="360" w:hanging="360"/>
      </w:pPr>
      <w:rPr>
        <w:rFonts w:ascii="Calibri" w:hAnsi="Calibri" w:hint="default"/>
        <w:b/>
        <w:i w:val="0"/>
        <w:color w:val="2147ED" w:themeColor="accent1"/>
      </w:rPr>
    </w:lvl>
    <w:lvl w:ilvl="1">
      <w:start w:val="1"/>
      <w:numFmt w:val="bullet"/>
      <w:lvlText w:val="-"/>
      <w:lvlJc w:val="left"/>
      <w:pPr>
        <w:tabs>
          <w:tab w:val="num" w:pos="720"/>
        </w:tabs>
        <w:ind w:left="720" w:hanging="363"/>
      </w:pPr>
      <w:rPr>
        <w:rFonts w:ascii="Arial Bold" w:hAnsi="Arial Bold" w:hint="default"/>
        <w:b/>
        <w:i w:val="0"/>
        <w:color w:val="80C437"/>
      </w:rPr>
    </w:lvl>
    <w:lvl w:ilvl="2">
      <w:start w:val="1"/>
      <w:numFmt w:val="bullet"/>
      <w:lvlText w:val="○"/>
      <w:lvlJc w:val="left"/>
      <w:pPr>
        <w:tabs>
          <w:tab w:val="num" w:pos="1077"/>
        </w:tabs>
        <w:ind w:left="1077" w:hanging="357"/>
      </w:pPr>
      <w:rPr>
        <w:rFonts w:ascii="Calibri" w:hAnsi="Calibri" w:hint="default"/>
        <w:color w:val="80C437"/>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E911E8C"/>
    <w:multiLevelType w:val="hybridMultilevel"/>
    <w:tmpl w:val="ADEA8C9C"/>
    <w:lvl w:ilvl="0" w:tplc="7EC0056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544BCD"/>
    <w:multiLevelType w:val="multilevel"/>
    <w:tmpl w:val="908E3668"/>
    <w:styleLink w:val="CCAppendixHeadings"/>
    <w:lvl w:ilvl="0">
      <w:start w:val="1"/>
      <w:numFmt w:val="decimal"/>
      <w:suff w:val="space"/>
      <w:lvlText w:val="Appendix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3C07FEC"/>
    <w:multiLevelType w:val="multilevel"/>
    <w:tmpl w:val="19067A2C"/>
    <w:lvl w:ilvl="0">
      <w:start w:val="1"/>
      <w:numFmt w:val="decimal"/>
      <w:suff w:val="space"/>
      <w:lvlText w:val="Appendix %1:"/>
      <w:lvlJc w:val="left"/>
      <w:pPr>
        <w:ind w:left="0" w:firstLine="0"/>
      </w:pPr>
      <w:rPr>
        <w:rFonts w:ascii="Arial Bold" w:hAnsi="Arial Bold" w:hint="default"/>
        <w:b/>
        <w:i w:val="0"/>
        <w:color w:val="auto"/>
        <w:sz w:val="36"/>
      </w:rPr>
    </w:lvl>
    <w:lvl w:ilvl="1">
      <w:start w:val="1"/>
      <w:numFmt w:val="decimal"/>
      <w:pStyle w:val="AppendixH2"/>
      <w:suff w:val="space"/>
      <w:lvlText w:val="%1.%2."/>
      <w:lvlJc w:val="left"/>
      <w:pPr>
        <w:ind w:left="567" w:hanging="567"/>
      </w:pPr>
      <w:rPr>
        <w:rFonts w:ascii="Arial Bold" w:hAnsi="Arial Bold" w:hint="default"/>
        <w:b/>
        <w:i w:val="0"/>
        <w:color w:val="000000" w:themeColor="text1"/>
        <w:sz w:val="28"/>
      </w:rPr>
    </w:lvl>
    <w:lvl w:ilvl="2">
      <w:start w:val="1"/>
      <w:numFmt w:val="decimal"/>
      <w:pStyle w:val="AppendixH3"/>
      <w:suff w:val="space"/>
      <w:lvlText w:val="%1.%2.%3."/>
      <w:lvlJc w:val="left"/>
      <w:pPr>
        <w:ind w:left="0" w:firstLine="0"/>
      </w:pPr>
      <w:rPr>
        <w:rFonts w:ascii="Arial Bold" w:hAnsi="Arial Bold" w:hint="default"/>
        <w:b/>
        <w:i w:val="0"/>
        <w:caps w:val="0"/>
        <w:color w:val="2147ED" w:themeColor="accent1"/>
        <w:sz w:val="22"/>
        <w:szCs w:val="22"/>
      </w:rPr>
    </w:lvl>
    <w:lvl w:ilvl="3">
      <w:start w:val="1"/>
      <w:numFmt w:val="decimal"/>
      <w:suff w:val="space"/>
      <w:lvlText w:val="%1.%2.%3.%4."/>
      <w:lvlJc w:val="left"/>
      <w:pPr>
        <w:ind w:left="284" w:hanging="284"/>
      </w:pPr>
      <w:rPr>
        <w:rFonts w:ascii="Arial Bold" w:hAnsi="Arial Bold" w:hint="default"/>
        <w:b/>
        <w:i w:val="0"/>
        <w:color w:val="auto"/>
        <w:sz w:val="22"/>
      </w:rPr>
    </w:lvl>
    <w:lvl w:ilvl="4">
      <w:start w:val="1"/>
      <w:numFmt w:val="lowerLetter"/>
      <w:lvlText w:val="(%5)"/>
      <w:lvlJc w:val="left"/>
      <w:pPr>
        <w:ind w:left="284" w:hanging="284"/>
      </w:pPr>
      <w:rPr>
        <w:rFonts w:hint="default"/>
      </w:rPr>
    </w:lvl>
    <w:lvl w:ilvl="5">
      <w:start w:val="1"/>
      <w:numFmt w:val="lowerRoman"/>
      <w:lvlText w:val="(%6)"/>
      <w:lvlJc w:val="left"/>
      <w:pPr>
        <w:ind w:left="284" w:hanging="284"/>
      </w:pPr>
      <w:rPr>
        <w:rFonts w:hint="default"/>
      </w:rPr>
    </w:lvl>
    <w:lvl w:ilvl="6">
      <w:start w:val="1"/>
      <w:numFmt w:val="decimal"/>
      <w:lvlText w:val="%7."/>
      <w:lvlJc w:val="left"/>
      <w:pPr>
        <w:ind w:left="284" w:hanging="284"/>
      </w:pPr>
      <w:rPr>
        <w:rFonts w:ascii="Crimson Pro" w:hAnsi="Crimson Pro" w:hint="default"/>
        <w:color w:val="2147ED" w:themeColor="accent1"/>
        <w:sz w:val="36"/>
      </w:rPr>
    </w:lvl>
    <w:lvl w:ilvl="7">
      <w:start w:val="1"/>
      <w:numFmt w:val="lowerLetter"/>
      <w:lvlText w:val="%8."/>
      <w:lvlJc w:val="left"/>
      <w:pPr>
        <w:ind w:left="284" w:hanging="284"/>
      </w:pPr>
      <w:rPr>
        <w:rFonts w:hint="default"/>
      </w:rPr>
    </w:lvl>
    <w:lvl w:ilvl="8">
      <w:start w:val="1"/>
      <w:numFmt w:val="lowerRoman"/>
      <w:lvlText w:val="%9."/>
      <w:lvlJc w:val="left"/>
      <w:pPr>
        <w:ind w:left="284" w:hanging="284"/>
      </w:pPr>
      <w:rPr>
        <w:rFonts w:hint="default"/>
      </w:rPr>
    </w:lvl>
  </w:abstractNum>
  <w:abstractNum w:abstractNumId="26" w15:restartNumberingAfterBreak="0">
    <w:nsid w:val="64EC0842"/>
    <w:multiLevelType w:val="hybridMultilevel"/>
    <w:tmpl w:val="41D05CCE"/>
    <w:lvl w:ilvl="0" w:tplc="7B2E2CF4">
      <w:start w:val="1"/>
      <w:numFmt w:val="bullet"/>
      <w:pStyle w:val="Whitebullets"/>
      <w:lvlText w:val=""/>
      <w:lvlJc w:val="left"/>
      <w:pPr>
        <w:ind w:left="720" w:hanging="360"/>
      </w:pPr>
      <w:rPr>
        <w:rFonts w:ascii="Symbol" w:hAnsi="Symbol" w:hint="default"/>
        <w:color w:val="FFFFFF" w:themeColor="background1"/>
      </w:rPr>
    </w:lvl>
    <w:lvl w:ilvl="1" w:tplc="1C3C8D78" w:tentative="1">
      <w:start w:val="1"/>
      <w:numFmt w:val="bullet"/>
      <w:lvlText w:val="o"/>
      <w:lvlJc w:val="left"/>
      <w:pPr>
        <w:ind w:left="1440" w:hanging="360"/>
      </w:pPr>
      <w:rPr>
        <w:rFonts w:ascii="Courier New" w:hAnsi="Courier New" w:cs="Courier New" w:hint="default"/>
      </w:rPr>
    </w:lvl>
    <w:lvl w:ilvl="2" w:tplc="CF4ADF6E" w:tentative="1">
      <w:start w:val="1"/>
      <w:numFmt w:val="bullet"/>
      <w:lvlText w:val=""/>
      <w:lvlJc w:val="left"/>
      <w:pPr>
        <w:ind w:left="2160" w:hanging="360"/>
      </w:pPr>
      <w:rPr>
        <w:rFonts w:ascii="Wingdings" w:hAnsi="Wingdings" w:hint="default"/>
      </w:rPr>
    </w:lvl>
    <w:lvl w:ilvl="3" w:tplc="18CC941E" w:tentative="1">
      <w:start w:val="1"/>
      <w:numFmt w:val="bullet"/>
      <w:lvlText w:val=""/>
      <w:lvlJc w:val="left"/>
      <w:pPr>
        <w:ind w:left="2880" w:hanging="360"/>
      </w:pPr>
      <w:rPr>
        <w:rFonts w:ascii="Symbol" w:hAnsi="Symbol" w:hint="default"/>
      </w:rPr>
    </w:lvl>
    <w:lvl w:ilvl="4" w:tplc="A7BAF854" w:tentative="1">
      <w:start w:val="1"/>
      <w:numFmt w:val="bullet"/>
      <w:lvlText w:val="o"/>
      <w:lvlJc w:val="left"/>
      <w:pPr>
        <w:ind w:left="3600" w:hanging="360"/>
      </w:pPr>
      <w:rPr>
        <w:rFonts w:ascii="Courier New" w:hAnsi="Courier New" w:cs="Courier New" w:hint="default"/>
      </w:rPr>
    </w:lvl>
    <w:lvl w:ilvl="5" w:tplc="6F4C4CCC" w:tentative="1">
      <w:start w:val="1"/>
      <w:numFmt w:val="bullet"/>
      <w:lvlText w:val=""/>
      <w:lvlJc w:val="left"/>
      <w:pPr>
        <w:ind w:left="4320" w:hanging="360"/>
      </w:pPr>
      <w:rPr>
        <w:rFonts w:ascii="Wingdings" w:hAnsi="Wingdings" w:hint="default"/>
      </w:rPr>
    </w:lvl>
    <w:lvl w:ilvl="6" w:tplc="98A44806" w:tentative="1">
      <w:start w:val="1"/>
      <w:numFmt w:val="bullet"/>
      <w:lvlText w:val=""/>
      <w:lvlJc w:val="left"/>
      <w:pPr>
        <w:ind w:left="5040" w:hanging="360"/>
      </w:pPr>
      <w:rPr>
        <w:rFonts w:ascii="Symbol" w:hAnsi="Symbol" w:hint="default"/>
      </w:rPr>
    </w:lvl>
    <w:lvl w:ilvl="7" w:tplc="910E5DEA" w:tentative="1">
      <w:start w:val="1"/>
      <w:numFmt w:val="bullet"/>
      <w:lvlText w:val="o"/>
      <w:lvlJc w:val="left"/>
      <w:pPr>
        <w:ind w:left="5760" w:hanging="360"/>
      </w:pPr>
      <w:rPr>
        <w:rFonts w:ascii="Courier New" w:hAnsi="Courier New" w:cs="Courier New" w:hint="default"/>
      </w:rPr>
    </w:lvl>
    <w:lvl w:ilvl="8" w:tplc="57B88C56" w:tentative="1">
      <w:start w:val="1"/>
      <w:numFmt w:val="bullet"/>
      <w:lvlText w:val=""/>
      <w:lvlJc w:val="left"/>
      <w:pPr>
        <w:ind w:left="6480" w:hanging="360"/>
      </w:pPr>
      <w:rPr>
        <w:rFonts w:ascii="Wingdings" w:hAnsi="Wingdings" w:hint="default"/>
      </w:rPr>
    </w:lvl>
  </w:abstractNum>
  <w:abstractNum w:abstractNumId="27" w15:restartNumberingAfterBreak="0">
    <w:nsid w:val="79CC5382"/>
    <w:multiLevelType w:val="hybridMultilevel"/>
    <w:tmpl w:val="15548ADC"/>
    <w:lvl w:ilvl="0" w:tplc="C0D4153C">
      <w:start w:val="1"/>
      <w:numFmt w:val="lowerLetter"/>
      <w:lvlText w:val="%1."/>
      <w:lvlJc w:val="left"/>
      <w:pPr>
        <w:ind w:left="720" w:hanging="360"/>
      </w:pPr>
      <w:rPr>
        <w:rFonts w:ascii="Roboto" w:eastAsia="Times New Roman" w:hAnsi="Roboto" w:cstheme="minorHAnsi"/>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1334398">
    <w:abstractNumId w:val="19"/>
  </w:num>
  <w:num w:numId="2" w16cid:durableId="344089408">
    <w:abstractNumId w:val="4"/>
  </w:num>
  <w:num w:numId="3" w16cid:durableId="1613241484">
    <w:abstractNumId w:val="22"/>
  </w:num>
  <w:num w:numId="4" w16cid:durableId="495657653">
    <w:abstractNumId w:val="6"/>
  </w:num>
  <w:num w:numId="5" w16cid:durableId="1453673908">
    <w:abstractNumId w:val="24"/>
  </w:num>
  <w:num w:numId="6" w16cid:durableId="637302612">
    <w:abstractNumId w:val="8"/>
  </w:num>
  <w:num w:numId="7" w16cid:durableId="448818328">
    <w:abstractNumId w:val="7"/>
  </w:num>
  <w:num w:numId="8" w16cid:durableId="806893419">
    <w:abstractNumId w:val="5"/>
  </w:num>
  <w:num w:numId="9" w16cid:durableId="1000156603">
    <w:abstractNumId w:val="20"/>
  </w:num>
  <w:num w:numId="10" w16cid:durableId="1492867938">
    <w:abstractNumId w:val="1"/>
  </w:num>
  <w:num w:numId="11" w16cid:durableId="1231692885">
    <w:abstractNumId w:val="18"/>
  </w:num>
  <w:num w:numId="12" w16cid:durableId="253826932">
    <w:abstractNumId w:val="15"/>
  </w:num>
  <w:num w:numId="13" w16cid:durableId="1303194008">
    <w:abstractNumId w:val="9"/>
  </w:num>
  <w:num w:numId="14" w16cid:durableId="779178544">
    <w:abstractNumId w:val="26"/>
  </w:num>
  <w:num w:numId="15" w16cid:durableId="1123498651">
    <w:abstractNumId w:val="11"/>
  </w:num>
  <w:num w:numId="16" w16cid:durableId="395934199">
    <w:abstractNumId w:val="13"/>
  </w:num>
  <w:num w:numId="17" w16cid:durableId="949895419">
    <w:abstractNumId w:val="25"/>
  </w:num>
  <w:num w:numId="18" w16cid:durableId="1703825215">
    <w:abstractNumId w:val="14"/>
  </w:num>
  <w:num w:numId="19" w16cid:durableId="188834243">
    <w:abstractNumId w:val="11"/>
    <w:lvlOverride w:ilvl="0">
      <w:startOverride w:val="1"/>
    </w:lvlOverride>
  </w:num>
  <w:num w:numId="20" w16cid:durableId="1606233960">
    <w:abstractNumId w:val="21"/>
  </w:num>
  <w:num w:numId="21" w16cid:durableId="861746512">
    <w:abstractNumId w:val="2"/>
  </w:num>
  <w:num w:numId="22" w16cid:durableId="1273440959">
    <w:abstractNumId w:val="16"/>
  </w:num>
  <w:num w:numId="23" w16cid:durableId="567807078">
    <w:abstractNumId w:val="10"/>
  </w:num>
  <w:num w:numId="24" w16cid:durableId="8474775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52148">
    <w:abstractNumId w:val="27"/>
    <w:lvlOverride w:ilvl="0">
      <w:startOverride w:val="1"/>
    </w:lvlOverride>
    <w:lvlOverride w:ilvl="1"/>
    <w:lvlOverride w:ilvl="2"/>
    <w:lvlOverride w:ilvl="3"/>
    <w:lvlOverride w:ilvl="4"/>
    <w:lvlOverride w:ilvl="5"/>
    <w:lvlOverride w:ilvl="6"/>
    <w:lvlOverride w:ilvl="7"/>
    <w:lvlOverride w:ilvl="8"/>
  </w:num>
  <w:num w:numId="26" w16cid:durableId="1067999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39270808">
    <w:abstractNumId w:val="0"/>
  </w:num>
  <w:num w:numId="28" w16cid:durableId="435949693">
    <w:abstractNumId w:val="17"/>
  </w:num>
  <w:num w:numId="29" w16cid:durableId="621152038">
    <w:abstractNumId w:val="3"/>
  </w:num>
  <w:num w:numId="30" w16cid:durableId="1810708645">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567"/>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1NDUxMjUzMzYwMzJX0lEKTi0uzszPAykwrgUASJfwASwAAAA="/>
  </w:docVars>
  <w:rsids>
    <w:rsidRoot w:val="009E5570"/>
    <w:rsid w:val="00010752"/>
    <w:rsid w:val="00014B73"/>
    <w:rsid w:val="00017841"/>
    <w:rsid w:val="00032D2B"/>
    <w:rsid w:val="00040483"/>
    <w:rsid w:val="00057AEC"/>
    <w:rsid w:val="000641F0"/>
    <w:rsid w:val="00064C11"/>
    <w:rsid w:val="00066617"/>
    <w:rsid w:val="00066E9C"/>
    <w:rsid w:val="00073011"/>
    <w:rsid w:val="00077D80"/>
    <w:rsid w:val="0009271B"/>
    <w:rsid w:val="00094C0F"/>
    <w:rsid w:val="00095E90"/>
    <w:rsid w:val="000B6B7B"/>
    <w:rsid w:val="000B77EC"/>
    <w:rsid w:val="000C486E"/>
    <w:rsid w:val="000C6B44"/>
    <w:rsid w:val="000D1C29"/>
    <w:rsid w:val="000D1D6B"/>
    <w:rsid w:val="000E1A40"/>
    <w:rsid w:val="000E5228"/>
    <w:rsid w:val="000F6E5A"/>
    <w:rsid w:val="000F7644"/>
    <w:rsid w:val="00100129"/>
    <w:rsid w:val="0010384C"/>
    <w:rsid w:val="00104563"/>
    <w:rsid w:val="00105872"/>
    <w:rsid w:val="001110B3"/>
    <w:rsid w:val="00115F7E"/>
    <w:rsid w:val="00120AD9"/>
    <w:rsid w:val="001241AE"/>
    <w:rsid w:val="0012487F"/>
    <w:rsid w:val="001253D6"/>
    <w:rsid w:val="00125B1B"/>
    <w:rsid w:val="00126190"/>
    <w:rsid w:val="00135679"/>
    <w:rsid w:val="0013644C"/>
    <w:rsid w:val="001649B4"/>
    <w:rsid w:val="00166971"/>
    <w:rsid w:val="00167DAA"/>
    <w:rsid w:val="00173A18"/>
    <w:rsid w:val="00173D72"/>
    <w:rsid w:val="00192C5F"/>
    <w:rsid w:val="00195C36"/>
    <w:rsid w:val="001A103D"/>
    <w:rsid w:val="001A60CB"/>
    <w:rsid w:val="001A707E"/>
    <w:rsid w:val="001B1059"/>
    <w:rsid w:val="001C4D9E"/>
    <w:rsid w:val="001E03C5"/>
    <w:rsid w:val="001E1157"/>
    <w:rsid w:val="001E3C57"/>
    <w:rsid w:val="001E5FC4"/>
    <w:rsid w:val="001E7D77"/>
    <w:rsid w:val="001F57B9"/>
    <w:rsid w:val="001F6C66"/>
    <w:rsid w:val="001F7318"/>
    <w:rsid w:val="0020698C"/>
    <w:rsid w:val="00206F15"/>
    <w:rsid w:val="00215AF9"/>
    <w:rsid w:val="002175E9"/>
    <w:rsid w:val="00227D15"/>
    <w:rsid w:val="002313CB"/>
    <w:rsid w:val="00231F9C"/>
    <w:rsid w:val="002356E5"/>
    <w:rsid w:val="00237362"/>
    <w:rsid w:val="002459C2"/>
    <w:rsid w:val="00246C3E"/>
    <w:rsid w:val="0025598B"/>
    <w:rsid w:val="002604C6"/>
    <w:rsid w:val="00263A46"/>
    <w:rsid w:val="0026747D"/>
    <w:rsid w:val="00292975"/>
    <w:rsid w:val="0029608A"/>
    <w:rsid w:val="00297548"/>
    <w:rsid w:val="002B48D5"/>
    <w:rsid w:val="002B677A"/>
    <w:rsid w:val="002C0070"/>
    <w:rsid w:val="002D1220"/>
    <w:rsid w:val="002D420D"/>
    <w:rsid w:val="002E3A46"/>
    <w:rsid w:val="002F3084"/>
    <w:rsid w:val="002F74C8"/>
    <w:rsid w:val="002F7C4A"/>
    <w:rsid w:val="003006D7"/>
    <w:rsid w:val="00303158"/>
    <w:rsid w:val="00303AAB"/>
    <w:rsid w:val="00310633"/>
    <w:rsid w:val="00311892"/>
    <w:rsid w:val="00312708"/>
    <w:rsid w:val="00317861"/>
    <w:rsid w:val="003178D3"/>
    <w:rsid w:val="00320DE0"/>
    <w:rsid w:val="00326757"/>
    <w:rsid w:val="00330FB2"/>
    <w:rsid w:val="00342F3C"/>
    <w:rsid w:val="0034714B"/>
    <w:rsid w:val="00361D55"/>
    <w:rsid w:val="00371E59"/>
    <w:rsid w:val="00371F1D"/>
    <w:rsid w:val="00373207"/>
    <w:rsid w:val="00387378"/>
    <w:rsid w:val="003A1671"/>
    <w:rsid w:val="003A1722"/>
    <w:rsid w:val="003A294E"/>
    <w:rsid w:val="003A3CD2"/>
    <w:rsid w:val="003A6A7C"/>
    <w:rsid w:val="003B0E9F"/>
    <w:rsid w:val="003B6EA6"/>
    <w:rsid w:val="003C210E"/>
    <w:rsid w:val="003C2AE8"/>
    <w:rsid w:val="003D63B5"/>
    <w:rsid w:val="003E5C41"/>
    <w:rsid w:val="003F1E58"/>
    <w:rsid w:val="003F2827"/>
    <w:rsid w:val="003F3315"/>
    <w:rsid w:val="00400F56"/>
    <w:rsid w:val="00403A3D"/>
    <w:rsid w:val="0040478E"/>
    <w:rsid w:val="00423B83"/>
    <w:rsid w:val="0042782A"/>
    <w:rsid w:val="00427F22"/>
    <w:rsid w:val="00440F8B"/>
    <w:rsid w:val="00444142"/>
    <w:rsid w:val="00450820"/>
    <w:rsid w:val="00453F0E"/>
    <w:rsid w:val="0045417B"/>
    <w:rsid w:val="004622F9"/>
    <w:rsid w:val="004859A2"/>
    <w:rsid w:val="004905AA"/>
    <w:rsid w:val="00491C22"/>
    <w:rsid w:val="00494B0D"/>
    <w:rsid w:val="004958C5"/>
    <w:rsid w:val="00496DA8"/>
    <w:rsid w:val="004A116E"/>
    <w:rsid w:val="004A346E"/>
    <w:rsid w:val="004A456C"/>
    <w:rsid w:val="004A5212"/>
    <w:rsid w:val="004A6401"/>
    <w:rsid w:val="004A7048"/>
    <w:rsid w:val="004B088E"/>
    <w:rsid w:val="004B13A1"/>
    <w:rsid w:val="004B57BC"/>
    <w:rsid w:val="004C023A"/>
    <w:rsid w:val="004C05B0"/>
    <w:rsid w:val="004C200F"/>
    <w:rsid w:val="004C47F4"/>
    <w:rsid w:val="004C5661"/>
    <w:rsid w:val="004C7F6A"/>
    <w:rsid w:val="004E7831"/>
    <w:rsid w:val="004F44B5"/>
    <w:rsid w:val="005001B4"/>
    <w:rsid w:val="0050096C"/>
    <w:rsid w:val="005321CC"/>
    <w:rsid w:val="00533843"/>
    <w:rsid w:val="0053392C"/>
    <w:rsid w:val="00535FD9"/>
    <w:rsid w:val="005534AC"/>
    <w:rsid w:val="00554409"/>
    <w:rsid w:val="00557FA2"/>
    <w:rsid w:val="005612F5"/>
    <w:rsid w:val="00563D7B"/>
    <w:rsid w:val="005655CC"/>
    <w:rsid w:val="00571B3F"/>
    <w:rsid w:val="00572DF6"/>
    <w:rsid w:val="005730D6"/>
    <w:rsid w:val="005777A5"/>
    <w:rsid w:val="00577C3F"/>
    <w:rsid w:val="00581190"/>
    <w:rsid w:val="00593E8F"/>
    <w:rsid w:val="005A248A"/>
    <w:rsid w:val="005B02E7"/>
    <w:rsid w:val="005B1E59"/>
    <w:rsid w:val="005B35BA"/>
    <w:rsid w:val="005B4B71"/>
    <w:rsid w:val="005B686E"/>
    <w:rsid w:val="005C2F16"/>
    <w:rsid w:val="005C32D6"/>
    <w:rsid w:val="005C4C7C"/>
    <w:rsid w:val="005C4FB9"/>
    <w:rsid w:val="005C75E0"/>
    <w:rsid w:val="005D0A6A"/>
    <w:rsid w:val="005E18FF"/>
    <w:rsid w:val="005E70C2"/>
    <w:rsid w:val="005F3C06"/>
    <w:rsid w:val="006002E6"/>
    <w:rsid w:val="00600C81"/>
    <w:rsid w:val="0060247E"/>
    <w:rsid w:val="00621B1B"/>
    <w:rsid w:val="00623B2A"/>
    <w:rsid w:val="00624F00"/>
    <w:rsid w:val="00630175"/>
    <w:rsid w:val="006435B7"/>
    <w:rsid w:val="00656AB4"/>
    <w:rsid w:val="00661198"/>
    <w:rsid w:val="00664E3A"/>
    <w:rsid w:val="00673CCB"/>
    <w:rsid w:val="00681419"/>
    <w:rsid w:val="006825C8"/>
    <w:rsid w:val="00686909"/>
    <w:rsid w:val="00686E32"/>
    <w:rsid w:val="00695310"/>
    <w:rsid w:val="00697333"/>
    <w:rsid w:val="006A0327"/>
    <w:rsid w:val="006A0DE8"/>
    <w:rsid w:val="006A442F"/>
    <w:rsid w:val="006A5373"/>
    <w:rsid w:val="006A6291"/>
    <w:rsid w:val="006A7F3F"/>
    <w:rsid w:val="006B30F0"/>
    <w:rsid w:val="006C2A4F"/>
    <w:rsid w:val="006C4291"/>
    <w:rsid w:val="006C4ABC"/>
    <w:rsid w:val="006C7C5F"/>
    <w:rsid w:val="006C7FA7"/>
    <w:rsid w:val="006D55CD"/>
    <w:rsid w:val="006E312B"/>
    <w:rsid w:val="006E58BF"/>
    <w:rsid w:val="006F3011"/>
    <w:rsid w:val="006F464D"/>
    <w:rsid w:val="006F7FE8"/>
    <w:rsid w:val="0070102C"/>
    <w:rsid w:val="007036B4"/>
    <w:rsid w:val="00704833"/>
    <w:rsid w:val="00705A76"/>
    <w:rsid w:val="007069C7"/>
    <w:rsid w:val="0070778C"/>
    <w:rsid w:val="00707B46"/>
    <w:rsid w:val="00711B18"/>
    <w:rsid w:val="00720C92"/>
    <w:rsid w:val="00727862"/>
    <w:rsid w:val="0073072C"/>
    <w:rsid w:val="00741815"/>
    <w:rsid w:val="00742676"/>
    <w:rsid w:val="0075573C"/>
    <w:rsid w:val="007613C3"/>
    <w:rsid w:val="00761962"/>
    <w:rsid w:val="00764C71"/>
    <w:rsid w:val="00765940"/>
    <w:rsid w:val="007668A7"/>
    <w:rsid w:val="007733BF"/>
    <w:rsid w:val="007739B8"/>
    <w:rsid w:val="007742B3"/>
    <w:rsid w:val="007742E9"/>
    <w:rsid w:val="00777446"/>
    <w:rsid w:val="00791D4F"/>
    <w:rsid w:val="00791F3A"/>
    <w:rsid w:val="007A2D3E"/>
    <w:rsid w:val="007B2038"/>
    <w:rsid w:val="007B2B30"/>
    <w:rsid w:val="007C1234"/>
    <w:rsid w:val="007C47C1"/>
    <w:rsid w:val="007D0790"/>
    <w:rsid w:val="007E188E"/>
    <w:rsid w:val="007E32C7"/>
    <w:rsid w:val="007E3D46"/>
    <w:rsid w:val="007E552C"/>
    <w:rsid w:val="007F13FB"/>
    <w:rsid w:val="007F3A4F"/>
    <w:rsid w:val="007F3FC4"/>
    <w:rsid w:val="007F59BF"/>
    <w:rsid w:val="00801CDB"/>
    <w:rsid w:val="008023E7"/>
    <w:rsid w:val="00812F74"/>
    <w:rsid w:val="00814913"/>
    <w:rsid w:val="00822B21"/>
    <w:rsid w:val="008268A7"/>
    <w:rsid w:val="00827172"/>
    <w:rsid w:val="008331D1"/>
    <w:rsid w:val="00847CC1"/>
    <w:rsid w:val="00851FFE"/>
    <w:rsid w:val="00856CE4"/>
    <w:rsid w:val="00862E9C"/>
    <w:rsid w:val="008635EA"/>
    <w:rsid w:val="00866523"/>
    <w:rsid w:val="00866869"/>
    <w:rsid w:val="0086689B"/>
    <w:rsid w:val="00876C14"/>
    <w:rsid w:val="00877A1E"/>
    <w:rsid w:val="00882EC6"/>
    <w:rsid w:val="00884177"/>
    <w:rsid w:val="00893222"/>
    <w:rsid w:val="008937B3"/>
    <w:rsid w:val="00893F61"/>
    <w:rsid w:val="008A405C"/>
    <w:rsid w:val="008A6286"/>
    <w:rsid w:val="008B2402"/>
    <w:rsid w:val="008B3004"/>
    <w:rsid w:val="008B7058"/>
    <w:rsid w:val="008E19D2"/>
    <w:rsid w:val="008E1C70"/>
    <w:rsid w:val="008E3A0A"/>
    <w:rsid w:val="008E4072"/>
    <w:rsid w:val="008E65E6"/>
    <w:rsid w:val="008E66C9"/>
    <w:rsid w:val="008E7BF8"/>
    <w:rsid w:val="008F22A5"/>
    <w:rsid w:val="008F3A84"/>
    <w:rsid w:val="008F4755"/>
    <w:rsid w:val="00900A6A"/>
    <w:rsid w:val="00904A0C"/>
    <w:rsid w:val="0091156E"/>
    <w:rsid w:val="00915B26"/>
    <w:rsid w:val="00915D8F"/>
    <w:rsid w:val="009220AC"/>
    <w:rsid w:val="00922319"/>
    <w:rsid w:val="009227D4"/>
    <w:rsid w:val="00926635"/>
    <w:rsid w:val="009318FE"/>
    <w:rsid w:val="00956085"/>
    <w:rsid w:val="009573A9"/>
    <w:rsid w:val="00960050"/>
    <w:rsid w:val="0096420C"/>
    <w:rsid w:val="009738ED"/>
    <w:rsid w:val="00984380"/>
    <w:rsid w:val="00984B66"/>
    <w:rsid w:val="00986D9D"/>
    <w:rsid w:val="00987F6E"/>
    <w:rsid w:val="0099083E"/>
    <w:rsid w:val="00990DD1"/>
    <w:rsid w:val="009926CE"/>
    <w:rsid w:val="00996482"/>
    <w:rsid w:val="009A3EA3"/>
    <w:rsid w:val="009A4878"/>
    <w:rsid w:val="009A6F53"/>
    <w:rsid w:val="009B78B7"/>
    <w:rsid w:val="009C4A4D"/>
    <w:rsid w:val="009C5230"/>
    <w:rsid w:val="009D17E7"/>
    <w:rsid w:val="009D25AF"/>
    <w:rsid w:val="009D2F9A"/>
    <w:rsid w:val="009D3976"/>
    <w:rsid w:val="009D4469"/>
    <w:rsid w:val="009D6C7E"/>
    <w:rsid w:val="009E1B55"/>
    <w:rsid w:val="009E4F00"/>
    <w:rsid w:val="009E5283"/>
    <w:rsid w:val="009E5570"/>
    <w:rsid w:val="009F1AFC"/>
    <w:rsid w:val="009F5757"/>
    <w:rsid w:val="009F57A5"/>
    <w:rsid w:val="00A021DA"/>
    <w:rsid w:val="00A13FF6"/>
    <w:rsid w:val="00A230F1"/>
    <w:rsid w:val="00A31F14"/>
    <w:rsid w:val="00A33657"/>
    <w:rsid w:val="00A35C02"/>
    <w:rsid w:val="00A36032"/>
    <w:rsid w:val="00A40F73"/>
    <w:rsid w:val="00A47A7A"/>
    <w:rsid w:val="00A47C18"/>
    <w:rsid w:val="00A47D0D"/>
    <w:rsid w:val="00A55BDB"/>
    <w:rsid w:val="00A642B7"/>
    <w:rsid w:val="00A705E4"/>
    <w:rsid w:val="00A71646"/>
    <w:rsid w:val="00A732FA"/>
    <w:rsid w:val="00A73512"/>
    <w:rsid w:val="00A81687"/>
    <w:rsid w:val="00A817E9"/>
    <w:rsid w:val="00A8398D"/>
    <w:rsid w:val="00A93C1D"/>
    <w:rsid w:val="00A943FA"/>
    <w:rsid w:val="00A949BB"/>
    <w:rsid w:val="00A95C73"/>
    <w:rsid w:val="00AA57BD"/>
    <w:rsid w:val="00AB340D"/>
    <w:rsid w:val="00AB6E39"/>
    <w:rsid w:val="00AB761A"/>
    <w:rsid w:val="00AC4D55"/>
    <w:rsid w:val="00AE5F22"/>
    <w:rsid w:val="00AE5F42"/>
    <w:rsid w:val="00AF23AA"/>
    <w:rsid w:val="00AF26A5"/>
    <w:rsid w:val="00AF45D3"/>
    <w:rsid w:val="00B008C8"/>
    <w:rsid w:val="00B01C4E"/>
    <w:rsid w:val="00B059C3"/>
    <w:rsid w:val="00B07B3B"/>
    <w:rsid w:val="00B1308E"/>
    <w:rsid w:val="00B14B1F"/>
    <w:rsid w:val="00B21682"/>
    <w:rsid w:val="00B22EF2"/>
    <w:rsid w:val="00B24041"/>
    <w:rsid w:val="00B25B96"/>
    <w:rsid w:val="00B3135B"/>
    <w:rsid w:val="00B32FFE"/>
    <w:rsid w:val="00B3411D"/>
    <w:rsid w:val="00B34321"/>
    <w:rsid w:val="00B349D3"/>
    <w:rsid w:val="00B36092"/>
    <w:rsid w:val="00B42D3C"/>
    <w:rsid w:val="00B46285"/>
    <w:rsid w:val="00B47858"/>
    <w:rsid w:val="00B50C5E"/>
    <w:rsid w:val="00B529F4"/>
    <w:rsid w:val="00B61A44"/>
    <w:rsid w:val="00B625D8"/>
    <w:rsid w:val="00B628B1"/>
    <w:rsid w:val="00B66A14"/>
    <w:rsid w:val="00B66BFF"/>
    <w:rsid w:val="00B90AC6"/>
    <w:rsid w:val="00B93E5E"/>
    <w:rsid w:val="00B959DB"/>
    <w:rsid w:val="00BB2712"/>
    <w:rsid w:val="00BB3381"/>
    <w:rsid w:val="00BB4149"/>
    <w:rsid w:val="00BB5DC7"/>
    <w:rsid w:val="00BC1A15"/>
    <w:rsid w:val="00BC4C69"/>
    <w:rsid w:val="00BC4FCB"/>
    <w:rsid w:val="00BC7AF2"/>
    <w:rsid w:val="00BC7D31"/>
    <w:rsid w:val="00BD3526"/>
    <w:rsid w:val="00BE639A"/>
    <w:rsid w:val="00C01797"/>
    <w:rsid w:val="00C01915"/>
    <w:rsid w:val="00C026D4"/>
    <w:rsid w:val="00C11E4D"/>
    <w:rsid w:val="00C210DF"/>
    <w:rsid w:val="00C21B77"/>
    <w:rsid w:val="00C24527"/>
    <w:rsid w:val="00C2556E"/>
    <w:rsid w:val="00C26664"/>
    <w:rsid w:val="00C31040"/>
    <w:rsid w:val="00C350E0"/>
    <w:rsid w:val="00C35E64"/>
    <w:rsid w:val="00C4230B"/>
    <w:rsid w:val="00C45660"/>
    <w:rsid w:val="00C60B63"/>
    <w:rsid w:val="00C63694"/>
    <w:rsid w:val="00C64264"/>
    <w:rsid w:val="00C707C9"/>
    <w:rsid w:val="00C73F80"/>
    <w:rsid w:val="00C763F0"/>
    <w:rsid w:val="00C770F4"/>
    <w:rsid w:val="00C775AE"/>
    <w:rsid w:val="00C77AB1"/>
    <w:rsid w:val="00C80BC4"/>
    <w:rsid w:val="00C83A68"/>
    <w:rsid w:val="00C8770B"/>
    <w:rsid w:val="00C90216"/>
    <w:rsid w:val="00C904EE"/>
    <w:rsid w:val="00CA5B82"/>
    <w:rsid w:val="00CC6045"/>
    <w:rsid w:val="00CC7D7C"/>
    <w:rsid w:val="00CD45B3"/>
    <w:rsid w:val="00CD4796"/>
    <w:rsid w:val="00CD5707"/>
    <w:rsid w:val="00CE1392"/>
    <w:rsid w:val="00CE1637"/>
    <w:rsid w:val="00CE2BE1"/>
    <w:rsid w:val="00CF2612"/>
    <w:rsid w:val="00CF2CC6"/>
    <w:rsid w:val="00CF4DCF"/>
    <w:rsid w:val="00CF4EB7"/>
    <w:rsid w:val="00CF693C"/>
    <w:rsid w:val="00D01055"/>
    <w:rsid w:val="00D0121C"/>
    <w:rsid w:val="00D04943"/>
    <w:rsid w:val="00D1087C"/>
    <w:rsid w:val="00D15D13"/>
    <w:rsid w:val="00D21D1E"/>
    <w:rsid w:val="00D22E7E"/>
    <w:rsid w:val="00D25083"/>
    <w:rsid w:val="00D25512"/>
    <w:rsid w:val="00D26538"/>
    <w:rsid w:val="00D36206"/>
    <w:rsid w:val="00D37A2D"/>
    <w:rsid w:val="00D455F2"/>
    <w:rsid w:val="00D51E29"/>
    <w:rsid w:val="00D51EDD"/>
    <w:rsid w:val="00D6487A"/>
    <w:rsid w:val="00D656D2"/>
    <w:rsid w:val="00D66041"/>
    <w:rsid w:val="00D662E2"/>
    <w:rsid w:val="00D77A1C"/>
    <w:rsid w:val="00D863CA"/>
    <w:rsid w:val="00D9031F"/>
    <w:rsid w:val="00DC3B79"/>
    <w:rsid w:val="00DD2BAA"/>
    <w:rsid w:val="00DD486A"/>
    <w:rsid w:val="00DD7870"/>
    <w:rsid w:val="00DE0571"/>
    <w:rsid w:val="00DF4581"/>
    <w:rsid w:val="00DF5DF6"/>
    <w:rsid w:val="00E05B37"/>
    <w:rsid w:val="00E12C8C"/>
    <w:rsid w:val="00E13582"/>
    <w:rsid w:val="00E21DEC"/>
    <w:rsid w:val="00E21E5A"/>
    <w:rsid w:val="00E231A3"/>
    <w:rsid w:val="00E566B6"/>
    <w:rsid w:val="00E64376"/>
    <w:rsid w:val="00E66356"/>
    <w:rsid w:val="00E6786F"/>
    <w:rsid w:val="00E67E69"/>
    <w:rsid w:val="00E73130"/>
    <w:rsid w:val="00E73C21"/>
    <w:rsid w:val="00E74553"/>
    <w:rsid w:val="00E74C53"/>
    <w:rsid w:val="00E752DB"/>
    <w:rsid w:val="00E81E48"/>
    <w:rsid w:val="00E83C1B"/>
    <w:rsid w:val="00E8672A"/>
    <w:rsid w:val="00EA29A7"/>
    <w:rsid w:val="00EA3722"/>
    <w:rsid w:val="00EA7D62"/>
    <w:rsid w:val="00EB3F74"/>
    <w:rsid w:val="00EB55F6"/>
    <w:rsid w:val="00EC382A"/>
    <w:rsid w:val="00ED59C4"/>
    <w:rsid w:val="00EE33B5"/>
    <w:rsid w:val="00EE3CC9"/>
    <w:rsid w:val="00EE40B3"/>
    <w:rsid w:val="00EE417D"/>
    <w:rsid w:val="00EE4E14"/>
    <w:rsid w:val="00EF40B2"/>
    <w:rsid w:val="00F02D56"/>
    <w:rsid w:val="00F03757"/>
    <w:rsid w:val="00F11876"/>
    <w:rsid w:val="00F11F55"/>
    <w:rsid w:val="00F13915"/>
    <w:rsid w:val="00F1690E"/>
    <w:rsid w:val="00F1721C"/>
    <w:rsid w:val="00F24929"/>
    <w:rsid w:val="00F27999"/>
    <w:rsid w:val="00F34FCF"/>
    <w:rsid w:val="00F43ECD"/>
    <w:rsid w:val="00F4593C"/>
    <w:rsid w:val="00F46D29"/>
    <w:rsid w:val="00F50722"/>
    <w:rsid w:val="00F51319"/>
    <w:rsid w:val="00F53468"/>
    <w:rsid w:val="00F56335"/>
    <w:rsid w:val="00F57BFA"/>
    <w:rsid w:val="00F64D6A"/>
    <w:rsid w:val="00F679DC"/>
    <w:rsid w:val="00F707A8"/>
    <w:rsid w:val="00F730A1"/>
    <w:rsid w:val="00F844A6"/>
    <w:rsid w:val="00F84C23"/>
    <w:rsid w:val="00F85698"/>
    <w:rsid w:val="00F95735"/>
    <w:rsid w:val="00FA00A5"/>
    <w:rsid w:val="00FB457F"/>
    <w:rsid w:val="00FB485B"/>
    <w:rsid w:val="00FB5E82"/>
    <w:rsid w:val="00FC72DC"/>
    <w:rsid w:val="00FD346F"/>
    <w:rsid w:val="00FD3C2C"/>
    <w:rsid w:val="00FD6C97"/>
    <w:rsid w:val="00FE141F"/>
    <w:rsid w:val="00FE26DE"/>
    <w:rsid w:val="00FE60DB"/>
    <w:rsid w:val="00FE7269"/>
    <w:rsid w:val="00FE7BEE"/>
    <w:rsid w:val="00FF17C5"/>
    <w:rsid w:val="00FF2D1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6CA64"/>
  <w15:chartTrackingRefBased/>
  <w15:docId w15:val="{376A0410-C5EB-4F2E-9C7F-4C89B1858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iPriority="0" w:unhideWhenUsed="1" w:qFormat="1"/>
    <w:lsdException w:name="List Number" w:semiHidden="1" w:uiPriority="0" w:unhideWhenUsed="1"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iPriority="1" w:unhideWhenUsed="1" w:qFormat="1"/>
    <w:lsdException w:name="List Continue 4" w:semiHidden="1" w:uiPriority="1" w:unhideWhenUsed="1" w:qFormat="1"/>
    <w:lsdException w:name="List Continue 5" w:semiHidden="1" w:uiPriority="1" w:unhideWhenUsed="1" w:qFormat="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rsid w:val="00B529F4"/>
    <w:pPr>
      <w:spacing w:before="160" w:after="160" w:line="300" w:lineRule="atLeast"/>
    </w:pPr>
    <w:rPr>
      <w:rFonts w:ascii="Roboto" w:hAnsi="Roboto" w:cstheme="minorHAnsi"/>
      <w:sz w:val="20"/>
      <w:lang w:val="en-GB"/>
    </w:rPr>
  </w:style>
  <w:style w:type="paragraph" w:styleId="Heading1">
    <w:name w:val="heading 1"/>
    <w:basedOn w:val="Heading1Black"/>
    <w:next w:val="Normal"/>
    <w:link w:val="Heading1Char"/>
    <w:uiPriority w:val="9"/>
    <w:rsid w:val="00D04943"/>
    <w:pPr>
      <w:outlineLvl w:val="0"/>
    </w:pPr>
  </w:style>
  <w:style w:type="paragraph" w:styleId="Heading2">
    <w:name w:val="heading 2"/>
    <w:basedOn w:val="Normal"/>
    <w:next w:val="Normal"/>
    <w:link w:val="Heading2Char"/>
    <w:qFormat/>
    <w:rsid w:val="00FC72DC"/>
    <w:pPr>
      <w:keepNext/>
      <w:keepLines/>
      <w:spacing w:before="480" w:after="120"/>
      <w:outlineLvl w:val="1"/>
    </w:pPr>
    <w:rPr>
      <w:rFonts w:ascii="Arial" w:eastAsiaTheme="minorEastAsia" w:hAnsi="Arial" w:cs="Arial"/>
      <w:b/>
      <w:color w:val="000000" w:themeColor="text1"/>
      <w:spacing w:val="-8"/>
      <w:sz w:val="28"/>
      <w:szCs w:val="100"/>
    </w:rPr>
  </w:style>
  <w:style w:type="paragraph" w:styleId="Heading3">
    <w:name w:val="heading 3"/>
    <w:basedOn w:val="Heading4"/>
    <w:next w:val="Normal"/>
    <w:link w:val="Heading3Char"/>
    <w:qFormat/>
    <w:rsid w:val="00FC72DC"/>
    <w:pPr>
      <w:outlineLvl w:val="2"/>
    </w:pPr>
    <w:rPr>
      <w:color w:val="2147ED" w:themeColor="accent1"/>
    </w:rPr>
  </w:style>
  <w:style w:type="paragraph" w:styleId="Heading4">
    <w:name w:val="heading 4"/>
    <w:basedOn w:val="Keytext"/>
    <w:next w:val="Normal"/>
    <w:link w:val="Heading4Char"/>
    <w:qFormat/>
    <w:rsid w:val="00FC72DC"/>
    <w:pPr>
      <w:spacing w:after="120"/>
      <w:outlineLvl w:val="3"/>
    </w:pPr>
    <w:rPr>
      <w:rFonts w:asciiTheme="majorHAnsi" w:hAnsiTheme="majorHAnsi" w:cstheme="majorHAnsi"/>
      <w:color w:val="auto"/>
    </w:rPr>
  </w:style>
  <w:style w:type="paragraph" w:styleId="Heading5">
    <w:name w:val="heading 5"/>
    <w:basedOn w:val="Normal"/>
    <w:next w:val="Normal"/>
    <w:link w:val="Heading5Char"/>
    <w:rsid w:val="00D04943"/>
    <w:pPr>
      <w:keepNext/>
      <w:keepLines/>
      <w:shd w:val="clear" w:color="auto" w:fill="003478"/>
      <w:spacing w:before="300"/>
      <w:outlineLvl w:val="4"/>
    </w:pPr>
    <w:rPr>
      <w:rFonts w:asciiTheme="majorHAnsi" w:eastAsiaTheme="majorEastAsia" w:hAnsiTheme="majorHAnsi" w:cstheme="majorHAnsi"/>
    </w:rPr>
  </w:style>
  <w:style w:type="paragraph" w:styleId="Heading6">
    <w:name w:val="heading 6"/>
    <w:aliases w:val="Appendix Heading"/>
    <w:basedOn w:val="Sectionheading"/>
    <w:next w:val="Normal"/>
    <w:link w:val="Heading6Char"/>
    <w:rsid w:val="00A71646"/>
    <w:pPr>
      <w:outlineLvl w:val="5"/>
    </w:pPr>
  </w:style>
  <w:style w:type="paragraph" w:styleId="Heading7">
    <w:name w:val="heading 7"/>
    <w:basedOn w:val="Normal"/>
    <w:next w:val="Normal"/>
    <w:link w:val="Heading7Char"/>
    <w:uiPriority w:val="9"/>
    <w:semiHidden/>
    <w:unhideWhenUsed/>
    <w:qFormat/>
    <w:rsid w:val="00D6487A"/>
    <w:pPr>
      <w:keepNext/>
      <w:keepLines/>
      <w:spacing w:before="40" w:after="0"/>
      <w:outlineLvl w:val="6"/>
    </w:pPr>
    <w:rPr>
      <w:rFonts w:asciiTheme="majorHAnsi" w:eastAsiaTheme="majorEastAsia" w:hAnsiTheme="majorHAnsi" w:cstheme="majorBidi"/>
      <w:i/>
      <w:iCs/>
      <w:color w:val="0A1F7C"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List">
    <w:name w:val="Bullet List"/>
    <w:basedOn w:val="NoList"/>
    <w:uiPriority w:val="99"/>
    <w:rsid w:val="00A817E9"/>
    <w:pPr>
      <w:numPr>
        <w:numId w:val="1"/>
      </w:numPr>
    </w:pPr>
  </w:style>
  <w:style w:type="character" w:customStyle="1" w:styleId="Heading1Char">
    <w:name w:val="Heading 1 Char"/>
    <w:basedOn w:val="DefaultParagraphFont"/>
    <w:link w:val="Heading1"/>
    <w:uiPriority w:val="9"/>
    <w:rsid w:val="00D04943"/>
    <w:rPr>
      <w:rFonts w:ascii="Arial" w:eastAsiaTheme="minorEastAsia" w:hAnsi="Arial" w:cs="Arial"/>
      <w:b/>
      <w:color w:val="000000" w:themeColor="text1"/>
      <w:spacing w:val="-8"/>
      <w:sz w:val="40"/>
      <w:szCs w:val="100"/>
      <w:lang w:val="en-GB"/>
    </w:rPr>
  </w:style>
  <w:style w:type="character" w:customStyle="1" w:styleId="Heading2Char">
    <w:name w:val="Heading 2 Char"/>
    <w:basedOn w:val="DefaultParagraphFont"/>
    <w:link w:val="Heading2"/>
    <w:rsid w:val="00FC72DC"/>
    <w:rPr>
      <w:rFonts w:ascii="Arial" w:eastAsiaTheme="minorEastAsia" w:hAnsi="Arial" w:cs="Arial"/>
      <w:b/>
      <w:color w:val="000000" w:themeColor="text1"/>
      <w:spacing w:val="-8"/>
      <w:sz w:val="28"/>
      <w:szCs w:val="100"/>
      <w:lang w:val="en-GB"/>
    </w:rPr>
  </w:style>
  <w:style w:type="character" w:customStyle="1" w:styleId="Heading3Char">
    <w:name w:val="Heading 3 Char"/>
    <w:basedOn w:val="DefaultParagraphFont"/>
    <w:link w:val="Heading3"/>
    <w:rsid w:val="00FC72DC"/>
    <w:rPr>
      <w:rFonts w:asciiTheme="majorHAnsi" w:hAnsiTheme="majorHAnsi" w:cstheme="majorHAnsi"/>
      <w:b/>
      <w:color w:val="2147ED" w:themeColor="accent1"/>
      <w:sz w:val="22"/>
      <w:lang w:val="en-GB"/>
    </w:rPr>
  </w:style>
  <w:style w:type="character" w:customStyle="1" w:styleId="Heading4Char">
    <w:name w:val="Heading 4 Char"/>
    <w:basedOn w:val="DefaultParagraphFont"/>
    <w:link w:val="Heading4"/>
    <w:rsid w:val="00FC72DC"/>
    <w:rPr>
      <w:rFonts w:asciiTheme="majorHAnsi" w:hAnsiTheme="majorHAnsi" w:cstheme="majorHAnsi"/>
      <w:b/>
      <w:sz w:val="22"/>
      <w:lang w:val="en-GB"/>
    </w:rPr>
  </w:style>
  <w:style w:type="character" w:customStyle="1" w:styleId="Heading5Char">
    <w:name w:val="Heading 5 Char"/>
    <w:basedOn w:val="DefaultParagraphFont"/>
    <w:link w:val="Heading5"/>
    <w:rsid w:val="00D04943"/>
    <w:rPr>
      <w:rFonts w:asciiTheme="majorHAnsi" w:eastAsiaTheme="majorEastAsia" w:hAnsiTheme="majorHAnsi" w:cstheme="majorHAnsi"/>
      <w:sz w:val="20"/>
      <w:shd w:val="clear" w:color="auto" w:fill="003478"/>
      <w:lang w:val="en-GB"/>
    </w:rPr>
  </w:style>
  <w:style w:type="character" w:customStyle="1" w:styleId="Heading6Char">
    <w:name w:val="Heading 6 Char"/>
    <w:aliases w:val="Appendix Heading Char"/>
    <w:basedOn w:val="DefaultParagraphFont"/>
    <w:link w:val="Heading6"/>
    <w:rsid w:val="00A71646"/>
    <w:rPr>
      <w:rFonts w:ascii="Arial Bold" w:eastAsiaTheme="minorEastAsia" w:hAnsi="Arial Bold" w:cs="Arial"/>
      <w:b/>
      <w:caps/>
      <w:color w:val="2147ED" w:themeColor="accent1"/>
      <w:spacing w:val="8"/>
      <w:sz w:val="22"/>
      <w:szCs w:val="100"/>
      <w:lang w:val="en-GB"/>
    </w:rPr>
  </w:style>
  <w:style w:type="paragraph" w:styleId="List">
    <w:name w:val="List"/>
    <w:basedOn w:val="Normal"/>
    <w:uiPriority w:val="1"/>
    <w:semiHidden/>
    <w:unhideWhenUsed/>
    <w:rsid w:val="00A71646"/>
    <w:pPr>
      <w:spacing w:before="100"/>
      <w:ind w:left="284" w:hanging="284"/>
    </w:pPr>
  </w:style>
  <w:style w:type="paragraph" w:styleId="List2">
    <w:name w:val="List 2"/>
    <w:basedOn w:val="Normal"/>
    <w:uiPriority w:val="1"/>
    <w:semiHidden/>
    <w:unhideWhenUsed/>
    <w:rsid w:val="00A71646"/>
    <w:pPr>
      <w:ind w:left="567"/>
    </w:pPr>
  </w:style>
  <w:style w:type="paragraph" w:styleId="List3">
    <w:name w:val="List 3"/>
    <w:basedOn w:val="Normal"/>
    <w:uiPriority w:val="1"/>
    <w:semiHidden/>
    <w:unhideWhenUsed/>
    <w:rsid w:val="00A71646"/>
    <w:pPr>
      <w:ind w:left="851"/>
    </w:pPr>
  </w:style>
  <w:style w:type="paragraph" w:styleId="List4">
    <w:name w:val="List 4"/>
    <w:basedOn w:val="Normal"/>
    <w:uiPriority w:val="1"/>
    <w:semiHidden/>
    <w:unhideWhenUsed/>
    <w:rsid w:val="00A71646"/>
    <w:pPr>
      <w:ind w:left="1134"/>
    </w:pPr>
  </w:style>
  <w:style w:type="paragraph" w:styleId="List5">
    <w:name w:val="List 5"/>
    <w:basedOn w:val="Normal"/>
    <w:uiPriority w:val="1"/>
    <w:semiHidden/>
    <w:unhideWhenUsed/>
    <w:rsid w:val="00A71646"/>
    <w:pPr>
      <w:ind w:left="1418"/>
    </w:pPr>
  </w:style>
  <w:style w:type="paragraph" w:styleId="ListBullet">
    <w:name w:val="List Bullet"/>
    <w:basedOn w:val="Normal"/>
    <w:qFormat/>
    <w:rsid w:val="00D04943"/>
    <w:pPr>
      <w:numPr>
        <w:numId w:val="3"/>
      </w:numPr>
      <w:contextualSpacing/>
    </w:pPr>
  </w:style>
  <w:style w:type="paragraph" w:styleId="ListBullet2">
    <w:name w:val="List Bullet 2"/>
    <w:basedOn w:val="Normal"/>
    <w:qFormat/>
    <w:rsid w:val="00D04943"/>
    <w:pPr>
      <w:numPr>
        <w:numId w:val="21"/>
      </w:numPr>
      <w:contextualSpacing/>
    </w:pPr>
  </w:style>
  <w:style w:type="paragraph" w:styleId="ListContinue">
    <w:name w:val="List Continue"/>
    <w:basedOn w:val="Normal"/>
    <w:qFormat/>
    <w:rsid w:val="00A71646"/>
    <w:pPr>
      <w:ind w:left="357"/>
      <w:contextualSpacing/>
    </w:pPr>
  </w:style>
  <w:style w:type="paragraph" w:styleId="ListContinue2">
    <w:name w:val="List Continue 2"/>
    <w:basedOn w:val="Normal"/>
    <w:qFormat/>
    <w:rsid w:val="00A71646"/>
    <w:pPr>
      <w:ind w:left="720"/>
      <w:contextualSpacing/>
    </w:pPr>
  </w:style>
  <w:style w:type="paragraph" w:styleId="ListContinue3">
    <w:name w:val="List Continue 3"/>
    <w:basedOn w:val="Normal"/>
    <w:qFormat/>
    <w:rsid w:val="00A71646"/>
    <w:pPr>
      <w:ind w:left="1077"/>
      <w:contextualSpacing/>
    </w:pPr>
  </w:style>
  <w:style w:type="paragraph" w:styleId="ListNumber">
    <w:name w:val="List Number"/>
    <w:basedOn w:val="Normal"/>
    <w:link w:val="ListNumberChar"/>
    <w:qFormat/>
    <w:rsid w:val="00A71646"/>
    <w:pPr>
      <w:numPr>
        <w:numId w:val="11"/>
      </w:numPr>
    </w:pPr>
  </w:style>
  <w:style w:type="paragraph" w:styleId="ListNumber2">
    <w:name w:val="List Number 2"/>
    <w:basedOn w:val="Normal"/>
    <w:qFormat/>
    <w:rsid w:val="00A71646"/>
    <w:pPr>
      <w:numPr>
        <w:numId w:val="8"/>
      </w:numPr>
    </w:pPr>
  </w:style>
  <w:style w:type="paragraph" w:styleId="ListNumber3">
    <w:name w:val="List Number 3"/>
    <w:basedOn w:val="Normal"/>
    <w:qFormat/>
    <w:rsid w:val="00A71646"/>
    <w:pPr>
      <w:numPr>
        <w:numId w:val="9"/>
      </w:numPr>
      <w:spacing w:after="480"/>
      <w:contextualSpacing/>
    </w:pPr>
  </w:style>
  <w:style w:type="numbering" w:customStyle="1" w:styleId="NumberList">
    <w:name w:val="Number List"/>
    <w:basedOn w:val="BulletList"/>
    <w:uiPriority w:val="99"/>
    <w:rsid w:val="00A817E9"/>
    <w:pPr>
      <w:numPr>
        <w:numId w:val="2"/>
      </w:numPr>
    </w:pPr>
  </w:style>
  <w:style w:type="paragraph" w:styleId="Subtitle">
    <w:name w:val="Subtitle"/>
    <w:basedOn w:val="Normal"/>
    <w:next w:val="Normal"/>
    <w:link w:val="SubtitleChar"/>
    <w:qFormat/>
    <w:rsid w:val="007E3D46"/>
    <w:pPr>
      <w:numPr>
        <w:ilvl w:val="1"/>
      </w:numPr>
      <w:spacing w:before="360" w:after="700"/>
    </w:pPr>
    <w:rPr>
      <w:rFonts w:ascii="Arial" w:eastAsiaTheme="minorEastAsia" w:hAnsi="Arial" w:cs="Arial"/>
      <w:b/>
      <w:color w:val="000000" w:themeColor="text1"/>
      <w:spacing w:val="-8"/>
      <w:sz w:val="100"/>
      <w:szCs w:val="100"/>
    </w:rPr>
  </w:style>
  <w:style w:type="character" w:customStyle="1" w:styleId="SubtitleChar">
    <w:name w:val="Subtitle Char"/>
    <w:basedOn w:val="DefaultParagraphFont"/>
    <w:link w:val="Subtitle"/>
    <w:rsid w:val="007E3D46"/>
    <w:rPr>
      <w:rFonts w:ascii="Arial" w:eastAsiaTheme="minorEastAsia" w:hAnsi="Arial" w:cs="Arial"/>
      <w:b/>
      <w:color w:val="000000" w:themeColor="text1"/>
      <w:spacing w:val="-8"/>
      <w:sz w:val="100"/>
      <w:szCs w:val="100"/>
      <w:lang w:val="en-GB"/>
    </w:rPr>
  </w:style>
  <w:style w:type="table" w:styleId="TableGrid">
    <w:name w:val="Table Grid"/>
    <w:basedOn w:val="TableNormal"/>
    <w:uiPriority w:val="39"/>
    <w:rsid w:val="005E18FF"/>
    <w:pPr>
      <w:spacing w:before="2" w:after="2" w:line="240" w:lineRule="auto"/>
      <w:ind w:left="57" w:right="5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Col">
      <w:rPr>
        <w:rFonts w:ascii="Lato Black" w:hAnsi="Lato Black"/>
        <w:color w:val="auto"/>
      </w:rPr>
    </w:tblStylePr>
  </w:style>
  <w:style w:type="paragraph" w:styleId="Title">
    <w:name w:val="Title"/>
    <w:basedOn w:val="Subtitle"/>
    <w:next w:val="Normal"/>
    <w:link w:val="TitleChar"/>
    <w:qFormat/>
    <w:rsid w:val="00B61A44"/>
  </w:style>
  <w:style w:type="character" w:customStyle="1" w:styleId="TitleChar">
    <w:name w:val="Title Char"/>
    <w:basedOn w:val="DefaultParagraphFont"/>
    <w:link w:val="Title"/>
    <w:rsid w:val="00B61A44"/>
    <w:rPr>
      <w:rFonts w:ascii="Arial" w:eastAsiaTheme="minorEastAsia" w:hAnsi="Arial" w:cs="Arial"/>
      <w:b/>
      <w:color w:val="000000" w:themeColor="text1"/>
      <w:spacing w:val="-8"/>
      <w:sz w:val="100"/>
      <w:szCs w:val="100"/>
      <w:lang w:val="en-GB"/>
    </w:rPr>
  </w:style>
  <w:style w:type="paragraph" w:styleId="TOC1">
    <w:name w:val="toc 1"/>
    <w:basedOn w:val="Normal"/>
    <w:next w:val="Normal"/>
    <w:link w:val="TOC1Char"/>
    <w:uiPriority w:val="39"/>
    <w:unhideWhenUsed/>
    <w:rsid w:val="00C026D4"/>
    <w:pPr>
      <w:tabs>
        <w:tab w:val="right" w:leader="dot" w:pos="9027"/>
      </w:tabs>
      <w:spacing w:after="140"/>
    </w:pPr>
    <w:rPr>
      <w:rFonts w:ascii="Arial" w:hAnsi="Arial"/>
      <w:b/>
      <w:color w:val="2147ED" w:themeColor="accent1"/>
      <w:sz w:val="22"/>
    </w:rPr>
  </w:style>
  <w:style w:type="paragraph" w:styleId="TOC2">
    <w:name w:val="toc 2"/>
    <w:basedOn w:val="Normal"/>
    <w:next w:val="Normal"/>
    <w:uiPriority w:val="39"/>
    <w:unhideWhenUsed/>
    <w:rsid w:val="00C026D4"/>
    <w:pPr>
      <w:tabs>
        <w:tab w:val="right" w:leader="dot" w:pos="9027"/>
      </w:tabs>
      <w:spacing w:after="140"/>
    </w:pPr>
    <w:rPr>
      <w:rFonts w:ascii="Arial" w:hAnsi="Arial"/>
      <w:b/>
      <w:sz w:val="22"/>
    </w:rPr>
  </w:style>
  <w:style w:type="paragraph" w:styleId="TOC3">
    <w:name w:val="toc 3"/>
    <w:basedOn w:val="Normal"/>
    <w:next w:val="Normal"/>
    <w:uiPriority w:val="39"/>
    <w:unhideWhenUsed/>
    <w:rsid w:val="00C026D4"/>
    <w:pPr>
      <w:tabs>
        <w:tab w:val="left" w:pos="567"/>
        <w:tab w:val="right" w:leader="dot" w:pos="9044"/>
      </w:tabs>
      <w:spacing w:after="100"/>
      <w:ind w:left="567"/>
    </w:pPr>
    <w:rPr>
      <w:rFonts w:ascii="Arial" w:hAnsi="Arial"/>
      <w:b/>
      <w:color w:val="000000" w:themeColor="text1"/>
      <w:sz w:val="22"/>
    </w:rPr>
  </w:style>
  <w:style w:type="paragraph" w:customStyle="1" w:styleId="BodyTextNoSpacing">
    <w:name w:val="Body Text No Spacing"/>
    <w:basedOn w:val="Normal"/>
    <w:qFormat/>
    <w:rsid w:val="000E1A40"/>
  </w:style>
  <w:style w:type="paragraph" w:styleId="TOCHeading">
    <w:name w:val="TOC Heading"/>
    <w:basedOn w:val="Heading1"/>
    <w:next w:val="Normal"/>
    <w:link w:val="TOCHeadingChar"/>
    <w:uiPriority w:val="39"/>
    <w:qFormat/>
    <w:rsid w:val="007E552C"/>
    <w:pPr>
      <w:outlineLvl w:val="9"/>
    </w:pPr>
    <w:rPr>
      <w:b w:val="0"/>
    </w:rPr>
  </w:style>
  <w:style w:type="character" w:styleId="PlaceholderText">
    <w:name w:val="Placeholder Text"/>
    <w:basedOn w:val="DefaultParagraphFont"/>
    <w:uiPriority w:val="99"/>
    <w:rsid w:val="003E5C41"/>
    <w:rPr>
      <w:color w:val="FF0000"/>
      <w:bdr w:val="none" w:sz="0" w:space="0" w:color="auto"/>
      <w:shd w:val="clear" w:color="auto" w:fill="FFFF00"/>
    </w:rPr>
  </w:style>
  <w:style w:type="paragraph" w:customStyle="1" w:styleId="Heading1Numbered">
    <w:name w:val="Heading 1 Numbered"/>
    <w:basedOn w:val="Heading1"/>
    <w:next w:val="Normal"/>
    <w:qFormat/>
    <w:rsid w:val="00FC72DC"/>
    <w:pPr>
      <w:numPr>
        <w:numId w:val="20"/>
      </w:numPr>
      <w:outlineLvl w:val="1"/>
    </w:pPr>
  </w:style>
  <w:style w:type="paragraph" w:customStyle="1" w:styleId="Heading2Numbered">
    <w:name w:val="Heading 2 Numbered"/>
    <w:basedOn w:val="Heading2"/>
    <w:next w:val="Normal"/>
    <w:qFormat/>
    <w:rsid w:val="00FC72DC"/>
    <w:pPr>
      <w:numPr>
        <w:ilvl w:val="1"/>
        <w:numId w:val="20"/>
      </w:numPr>
      <w:outlineLvl w:val="2"/>
    </w:pPr>
  </w:style>
  <w:style w:type="paragraph" w:customStyle="1" w:styleId="Heading3Numbered">
    <w:name w:val="Heading 3 Numbered"/>
    <w:basedOn w:val="Heading3"/>
    <w:next w:val="Normal"/>
    <w:qFormat/>
    <w:rsid w:val="00FC72DC"/>
    <w:pPr>
      <w:numPr>
        <w:ilvl w:val="2"/>
        <w:numId w:val="20"/>
      </w:numPr>
      <w:outlineLvl w:val="3"/>
    </w:pPr>
  </w:style>
  <w:style w:type="paragraph" w:customStyle="1" w:styleId="Heading4Numbered">
    <w:name w:val="Heading 4 Numbered"/>
    <w:basedOn w:val="Heading4"/>
    <w:next w:val="Normal"/>
    <w:qFormat/>
    <w:rsid w:val="00FC72DC"/>
    <w:pPr>
      <w:numPr>
        <w:ilvl w:val="3"/>
        <w:numId w:val="20"/>
      </w:numPr>
      <w:outlineLvl w:val="4"/>
    </w:pPr>
  </w:style>
  <w:style w:type="numbering" w:customStyle="1" w:styleId="CCHeadings">
    <w:name w:val="CC Headings"/>
    <w:basedOn w:val="NoList"/>
    <w:uiPriority w:val="99"/>
    <w:rsid w:val="009E5283"/>
    <w:pPr>
      <w:numPr>
        <w:numId w:val="13"/>
      </w:numPr>
    </w:pPr>
  </w:style>
  <w:style w:type="numbering" w:customStyle="1" w:styleId="CCBullets">
    <w:name w:val="CC Bullets"/>
    <w:basedOn w:val="BulletList"/>
    <w:uiPriority w:val="99"/>
    <w:rsid w:val="00E81E48"/>
    <w:pPr>
      <w:numPr>
        <w:numId w:val="3"/>
      </w:numPr>
    </w:pPr>
  </w:style>
  <w:style w:type="numbering" w:customStyle="1" w:styleId="CCListNumbers">
    <w:name w:val="CC List Numbers"/>
    <w:basedOn w:val="NumberList"/>
    <w:uiPriority w:val="99"/>
    <w:rsid w:val="00E81E48"/>
    <w:pPr>
      <w:numPr>
        <w:numId w:val="4"/>
      </w:numPr>
    </w:pPr>
  </w:style>
  <w:style w:type="numbering" w:customStyle="1" w:styleId="CCAppendixHeadings">
    <w:name w:val="CC Appendix Headings"/>
    <w:basedOn w:val="NoList"/>
    <w:uiPriority w:val="99"/>
    <w:rsid w:val="007E188E"/>
    <w:pPr>
      <w:numPr>
        <w:numId w:val="5"/>
      </w:numPr>
    </w:pPr>
  </w:style>
  <w:style w:type="paragraph" w:customStyle="1" w:styleId="AuthorEmail">
    <w:name w:val="Author Email"/>
    <w:basedOn w:val="Normal"/>
    <w:rsid w:val="004A7048"/>
    <w:pPr>
      <w:spacing w:before="120" w:after="270"/>
    </w:pPr>
    <w:rPr>
      <w:color w:val="000000" w:themeColor="text1"/>
    </w:rPr>
  </w:style>
  <w:style w:type="paragraph" w:customStyle="1" w:styleId="AuthorTitle">
    <w:name w:val="Author Title"/>
    <w:basedOn w:val="AuthorEmail"/>
    <w:next w:val="AuthorEmail"/>
    <w:rsid w:val="007E552C"/>
    <w:pPr>
      <w:spacing w:after="0"/>
    </w:pPr>
  </w:style>
  <w:style w:type="paragraph" w:customStyle="1" w:styleId="AuthorName">
    <w:name w:val="Author Name"/>
    <w:basedOn w:val="Normal"/>
    <w:next w:val="AuthorTitle"/>
    <w:rsid w:val="004A7048"/>
    <w:pPr>
      <w:outlineLvl w:val="3"/>
    </w:pPr>
    <w:rPr>
      <w:rFonts w:cs="DINOT-Bold"/>
      <w:b/>
      <w:color w:val="000000" w:themeColor="text1"/>
    </w:rPr>
  </w:style>
  <w:style w:type="character" w:styleId="Hyperlink">
    <w:name w:val="Hyperlink"/>
    <w:basedOn w:val="DefaultParagraphFont"/>
    <w:uiPriority w:val="99"/>
    <w:unhideWhenUsed/>
    <w:rsid w:val="00D04943"/>
    <w:rPr>
      <w:color w:val="00007F" w:themeColor="accent4"/>
      <w:u w:val="single"/>
    </w:rPr>
  </w:style>
  <w:style w:type="paragraph" w:customStyle="1" w:styleId="Heading1Black">
    <w:name w:val="Heading 1 Black"/>
    <w:basedOn w:val="Heading2"/>
    <w:next w:val="Normal"/>
    <w:link w:val="Heading1BlackChar"/>
    <w:qFormat/>
    <w:rsid w:val="004905AA"/>
    <w:pPr>
      <w:spacing w:before="240" w:after="240"/>
    </w:pPr>
    <w:rPr>
      <w:sz w:val="40"/>
    </w:rPr>
  </w:style>
  <w:style w:type="paragraph" w:customStyle="1" w:styleId="TOCHeading2">
    <w:name w:val="TOC Heading 2"/>
    <w:basedOn w:val="TOCHeading"/>
    <w:next w:val="Normal"/>
    <w:qFormat/>
    <w:rsid w:val="00317861"/>
    <w:pPr>
      <w:spacing w:before="700" w:after="400"/>
    </w:pPr>
    <w:rPr>
      <w:b/>
      <w:sz w:val="36"/>
    </w:rPr>
  </w:style>
  <w:style w:type="paragraph" w:styleId="Caption">
    <w:name w:val="caption"/>
    <w:basedOn w:val="Normal"/>
    <w:next w:val="Normal"/>
    <w:link w:val="CaptionChar"/>
    <w:unhideWhenUsed/>
    <w:qFormat/>
    <w:rsid w:val="00E6786F"/>
    <w:pPr>
      <w:spacing w:before="120" w:line="280" w:lineRule="atLeast"/>
    </w:pPr>
    <w:rPr>
      <w:rFonts w:asciiTheme="majorHAnsi" w:hAnsiTheme="majorHAnsi" w:cstheme="majorHAnsi"/>
      <w:b/>
      <w:iCs/>
      <w:szCs w:val="18"/>
    </w:rPr>
  </w:style>
  <w:style w:type="paragraph" w:styleId="TableofFigures">
    <w:name w:val="table of figures"/>
    <w:basedOn w:val="Normal"/>
    <w:next w:val="Normal"/>
    <w:uiPriority w:val="99"/>
    <w:unhideWhenUsed/>
    <w:rsid w:val="00C026D4"/>
    <w:pPr>
      <w:tabs>
        <w:tab w:val="right" w:leader="dot" w:pos="9027"/>
      </w:tabs>
      <w:spacing w:after="140"/>
    </w:pPr>
    <w:rPr>
      <w:rFonts w:ascii="Arial" w:hAnsi="Arial"/>
      <w:b/>
      <w:noProof/>
      <w:sz w:val="22"/>
    </w:rPr>
  </w:style>
  <w:style w:type="paragraph" w:styleId="TOC6">
    <w:name w:val="toc 6"/>
    <w:basedOn w:val="Normal"/>
    <w:next w:val="Normal"/>
    <w:autoRedefine/>
    <w:uiPriority w:val="39"/>
    <w:unhideWhenUsed/>
    <w:rsid w:val="00D6487A"/>
    <w:pPr>
      <w:tabs>
        <w:tab w:val="right" w:leader="dot" w:pos="9027"/>
      </w:tabs>
      <w:ind w:left="454"/>
    </w:pPr>
    <w:rPr>
      <w:rFonts w:ascii="Arial" w:hAnsi="Arial"/>
      <w:color w:val="000000" w:themeColor="text1"/>
    </w:rPr>
  </w:style>
  <w:style w:type="paragraph" w:customStyle="1" w:styleId="BackPageURL">
    <w:name w:val="Back Page URL"/>
    <w:basedOn w:val="Normal"/>
    <w:rsid w:val="00A71646"/>
    <w:rPr>
      <w:rFonts w:asciiTheme="majorHAnsi" w:hAnsiTheme="majorHAnsi"/>
      <w:b/>
      <w:color w:val="2147ED" w:themeColor="accent1"/>
      <w:sz w:val="24"/>
    </w:rPr>
  </w:style>
  <w:style w:type="paragraph" w:customStyle="1" w:styleId="BackPageTel">
    <w:name w:val="Back Page Tel"/>
    <w:basedOn w:val="Normal"/>
    <w:rsid w:val="00D04943"/>
    <w:rPr>
      <w:b/>
    </w:rPr>
  </w:style>
  <w:style w:type="table" w:customStyle="1" w:styleId="CarbonTrustTable">
    <w:name w:val="Carbon Trust Table"/>
    <w:basedOn w:val="TableNormal"/>
    <w:uiPriority w:val="99"/>
    <w:rsid w:val="000F7644"/>
    <w:pPr>
      <w:spacing w:line="240" w:lineRule="auto"/>
    </w:pPr>
    <w:rPr>
      <w:rFonts w:ascii="Roboto" w:hAnsi="Roboto"/>
      <w:sz w:val="20"/>
    </w:rPr>
    <w:tblPr>
      <w:tblStyleRow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57" w:type="dxa"/>
        <w:bottom w:w="57" w:type="dxa"/>
      </w:tblCellMar>
    </w:tblPr>
    <w:tblStylePr w:type="firstRow">
      <w:tblPr/>
      <w:tcPr>
        <w:shd w:val="clear" w:color="auto" w:fill="000000" w:themeFill="text1"/>
      </w:tcPr>
    </w:tblStylePr>
    <w:tblStylePr w:type="band1Horz">
      <w:tblPr/>
      <w:tcPr>
        <w:tcBorders>
          <w:top w:val="single" w:sz="8" w:space="0" w:color="003478"/>
          <w:left w:val="single" w:sz="8" w:space="0" w:color="003478"/>
          <w:bottom w:val="single" w:sz="8" w:space="0" w:color="003478"/>
          <w:right w:val="single" w:sz="8" w:space="0" w:color="003478"/>
          <w:insideH w:val="single" w:sz="8" w:space="0" w:color="003478"/>
          <w:insideV w:val="single" w:sz="8" w:space="0" w:color="003478"/>
          <w:tl2br w:val="nil"/>
          <w:tr2bl w:val="nil"/>
        </w:tcBorders>
        <w:shd w:val="clear" w:color="auto" w:fill="DCDCDC"/>
      </w:tcPr>
    </w:tblStylePr>
  </w:style>
  <w:style w:type="paragraph" w:customStyle="1" w:styleId="TableText">
    <w:name w:val="Table Text"/>
    <w:basedOn w:val="Normal"/>
    <w:qFormat/>
    <w:rsid w:val="00A71646"/>
    <w:pPr>
      <w:framePr w:hSpace="180" w:wrap="around" w:vAnchor="text" w:hAnchor="text" w:y="45"/>
      <w:spacing w:beforeLines="40" w:before="96" w:afterLines="40" w:after="96" w:line="240" w:lineRule="exact"/>
    </w:pPr>
  </w:style>
  <w:style w:type="paragraph" w:customStyle="1" w:styleId="TableTitle">
    <w:name w:val="Table Title"/>
    <w:basedOn w:val="TableText"/>
    <w:next w:val="TableText"/>
    <w:qFormat/>
    <w:rsid w:val="00317861"/>
    <w:pPr>
      <w:keepNext/>
      <w:keepLines/>
      <w:framePr w:wrap="around"/>
      <w:spacing w:before="40" w:after="40"/>
    </w:pPr>
    <w:rPr>
      <w:b/>
      <w:color w:val="000000" w:themeColor="text1"/>
    </w:rPr>
  </w:style>
  <w:style w:type="table" w:styleId="PlainTable1">
    <w:name w:val="Plain Table 1"/>
    <w:basedOn w:val="TableNormal"/>
    <w:uiPriority w:val="41"/>
    <w:rsid w:val="00F844A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CarbonTrustHighlight">
    <w:name w:val="Carbon Trust Highlight"/>
    <w:basedOn w:val="TableNormal"/>
    <w:uiPriority w:val="99"/>
    <w:rsid w:val="00E67E69"/>
    <w:pPr>
      <w:spacing w:before="2" w:after="2" w:line="240" w:lineRule="auto"/>
      <w:ind w:left="57" w:right="57"/>
    </w:pPr>
    <w:rPr>
      <w:rFonts w:asciiTheme="minorHAnsi" w:hAnsiTheme="minorHAnsi"/>
      <w:color w:val="FFFFFF" w:themeColor="background1"/>
      <w:sz w:val="22"/>
    </w:rPr>
    <w:tblPr/>
    <w:tcPr>
      <w:shd w:val="clear" w:color="auto" w:fill="000000" w:themeFill="text1"/>
      <w:vAlign w:val="center"/>
    </w:tcPr>
  </w:style>
  <w:style w:type="paragraph" w:styleId="Quote">
    <w:name w:val="Quote"/>
    <w:basedOn w:val="Normal"/>
    <w:next w:val="Normal"/>
    <w:link w:val="QuoteChar"/>
    <w:uiPriority w:val="29"/>
    <w:rsid w:val="00D04943"/>
    <w:pPr>
      <w:spacing w:before="360" w:after="120"/>
      <w:outlineLvl w:val="3"/>
    </w:pPr>
    <w:rPr>
      <w:rFonts w:asciiTheme="majorHAnsi" w:hAnsiTheme="majorHAnsi" w:cstheme="majorHAnsi"/>
      <w:b/>
      <w:color w:val="2147ED" w:themeColor="accent1"/>
      <w:sz w:val="22"/>
    </w:rPr>
  </w:style>
  <w:style w:type="character" w:customStyle="1" w:styleId="QuoteChar">
    <w:name w:val="Quote Char"/>
    <w:basedOn w:val="DefaultParagraphFont"/>
    <w:link w:val="Quote"/>
    <w:uiPriority w:val="29"/>
    <w:rsid w:val="00E6786F"/>
    <w:rPr>
      <w:rFonts w:asciiTheme="majorHAnsi" w:hAnsiTheme="majorHAnsi" w:cstheme="majorHAnsi"/>
      <w:b/>
      <w:color w:val="2147ED" w:themeColor="accent1"/>
      <w:sz w:val="22"/>
      <w:lang w:val="en-GB"/>
    </w:rPr>
  </w:style>
  <w:style w:type="paragraph" w:styleId="ListBullet3">
    <w:name w:val="List Bullet 3"/>
    <w:basedOn w:val="ListBullet2"/>
    <w:qFormat/>
    <w:rsid w:val="00D04943"/>
    <w:pPr>
      <w:numPr>
        <w:ilvl w:val="2"/>
      </w:numPr>
    </w:pPr>
  </w:style>
  <w:style w:type="paragraph" w:customStyle="1" w:styleId="TOFtitle">
    <w:name w:val="TOF title"/>
    <w:basedOn w:val="TOCHeading"/>
    <w:link w:val="TOFtitleChar"/>
    <w:qFormat/>
    <w:rsid w:val="00317861"/>
    <w:rPr>
      <w:b/>
    </w:rPr>
  </w:style>
  <w:style w:type="paragraph" w:customStyle="1" w:styleId="TOCwhite">
    <w:name w:val="TOC white"/>
    <w:basedOn w:val="TOC1"/>
    <w:link w:val="TOCwhiteChar"/>
    <w:qFormat/>
    <w:rsid w:val="00317861"/>
    <w:pPr>
      <w:spacing w:before="120" w:after="120"/>
    </w:pPr>
    <w:rPr>
      <w:rFonts w:cs="DINOT-Bold"/>
      <w:b w:val="0"/>
      <w:noProof/>
    </w:rPr>
  </w:style>
  <w:style w:type="character" w:customStyle="1" w:styleId="TOCHeadingChar">
    <w:name w:val="TOC Heading Char"/>
    <w:basedOn w:val="Heading1Char"/>
    <w:link w:val="TOCHeading"/>
    <w:rsid w:val="007E552C"/>
    <w:rPr>
      <w:rFonts w:ascii="Plantin Std" w:eastAsiaTheme="majorEastAsia" w:hAnsi="Plantin Std" w:cstheme="majorBidi"/>
      <w:b w:val="0"/>
      <w:color w:val="000000" w:themeColor="text1"/>
      <w:spacing w:val="-8"/>
      <w:sz w:val="48"/>
      <w:szCs w:val="32"/>
      <w:lang w:val="en-GB"/>
    </w:rPr>
  </w:style>
  <w:style w:type="character" w:customStyle="1" w:styleId="TOFtitleChar">
    <w:name w:val="TOF title Char"/>
    <w:basedOn w:val="TOCHeadingChar"/>
    <w:link w:val="TOFtitle"/>
    <w:rsid w:val="00317861"/>
    <w:rPr>
      <w:rFonts w:ascii="Crimson Pro" w:eastAsiaTheme="majorEastAsia" w:hAnsi="Crimson Pro" w:cstheme="majorBidi"/>
      <w:b/>
      <w:color w:val="000000" w:themeColor="text1"/>
      <w:spacing w:val="-8"/>
      <w:sz w:val="48"/>
      <w:szCs w:val="32"/>
      <w:lang w:val="en-GB"/>
    </w:rPr>
  </w:style>
  <w:style w:type="character" w:customStyle="1" w:styleId="Boldtext">
    <w:name w:val="Bold text"/>
    <w:basedOn w:val="DefaultParagraphFont"/>
    <w:uiPriority w:val="1"/>
    <w:qFormat/>
    <w:rsid w:val="00317861"/>
    <w:rPr>
      <w:rFonts w:ascii="Roboto" w:hAnsi="Roboto"/>
      <w:b/>
      <w:color w:val="auto"/>
      <w:sz w:val="20"/>
    </w:rPr>
  </w:style>
  <w:style w:type="character" w:customStyle="1" w:styleId="TOC1Char">
    <w:name w:val="TOC 1 Char"/>
    <w:basedOn w:val="DefaultParagraphFont"/>
    <w:link w:val="TOC1"/>
    <w:uiPriority w:val="39"/>
    <w:rsid w:val="00C026D4"/>
    <w:rPr>
      <w:rFonts w:ascii="Arial" w:hAnsi="Arial" w:cstheme="minorHAnsi"/>
      <w:b/>
      <w:color w:val="2147ED" w:themeColor="accent1"/>
      <w:sz w:val="22"/>
      <w:lang w:val="en-GB"/>
    </w:rPr>
  </w:style>
  <w:style w:type="character" w:customStyle="1" w:styleId="TOCwhiteChar">
    <w:name w:val="TOC white Char"/>
    <w:basedOn w:val="TOC1Char"/>
    <w:link w:val="TOCwhite"/>
    <w:rsid w:val="00317861"/>
    <w:rPr>
      <w:rFonts w:ascii="Roboto" w:hAnsi="Roboto" w:cs="DINOT-Bold"/>
      <w:b w:val="0"/>
      <w:noProof/>
      <w:color w:val="000000" w:themeColor="text1"/>
      <w:sz w:val="22"/>
      <w:lang w:val="en-GB"/>
    </w:rPr>
  </w:style>
  <w:style w:type="paragraph" w:styleId="FootnoteText">
    <w:name w:val="footnote text"/>
    <w:basedOn w:val="Normal"/>
    <w:link w:val="FootnoteTextChar"/>
    <w:uiPriority w:val="99"/>
    <w:semiHidden/>
    <w:unhideWhenUsed/>
    <w:rsid w:val="002D420D"/>
    <w:pPr>
      <w:spacing w:line="260" w:lineRule="atLeast"/>
    </w:pPr>
    <w:rPr>
      <w:rFonts w:asciiTheme="minorHAnsi" w:hAnsiTheme="minorHAnsi"/>
      <w:color w:val="808080" w:themeColor="background1" w:themeShade="80"/>
      <w:sz w:val="18"/>
      <w:szCs w:val="20"/>
    </w:rPr>
  </w:style>
  <w:style w:type="character" w:customStyle="1" w:styleId="FootnoteTextChar">
    <w:name w:val="Footnote Text Char"/>
    <w:basedOn w:val="DefaultParagraphFont"/>
    <w:link w:val="FootnoteText"/>
    <w:uiPriority w:val="99"/>
    <w:semiHidden/>
    <w:rsid w:val="002D420D"/>
    <w:rPr>
      <w:rFonts w:asciiTheme="minorHAnsi" w:hAnsiTheme="minorHAnsi" w:cstheme="minorHAnsi"/>
      <w:color w:val="808080" w:themeColor="background1" w:themeShade="80"/>
      <w:sz w:val="18"/>
      <w:szCs w:val="20"/>
      <w:lang w:val="en-GB"/>
    </w:rPr>
  </w:style>
  <w:style w:type="character" w:styleId="FootnoteReference">
    <w:name w:val="footnote reference"/>
    <w:basedOn w:val="DefaultParagraphFont"/>
    <w:uiPriority w:val="99"/>
    <w:semiHidden/>
    <w:unhideWhenUsed/>
    <w:rsid w:val="004A116E"/>
    <w:rPr>
      <w:vertAlign w:val="superscript"/>
    </w:rPr>
  </w:style>
  <w:style w:type="paragraph" w:customStyle="1" w:styleId="Numberedlist">
    <w:name w:val="Numbered list"/>
    <w:basedOn w:val="Normal"/>
    <w:rsid w:val="002D420D"/>
    <w:pPr>
      <w:numPr>
        <w:numId w:val="6"/>
      </w:numPr>
    </w:pPr>
    <w:rPr>
      <w:rFonts w:asciiTheme="minorHAnsi" w:hAnsiTheme="minorHAnsi"/>
      <w:szCs w:val="22"/>
    </w:rPr>
  </w:style>
  <w:style w:type="character" w:customStyle="1" w:styleId="Italic">
    <w:name w:val="Italic"/>
    <w:basedOn w:val="DefaultParagraphFont"/>
    <w:uiPriority w:val="1"/>
    <w:rsid w:val="00317861"/>
    <w:rPr>
      <w:rFonts w:ascii="Roboto" w:hAnsi="Roboto"/>
      <w:i/>
    </w:rPr>
  </w:style>
  <w:style w:type="paragraph" w:customStyle="1" w:styleId="NumberedparagraphLegal-Level2">
    <w:name w:val="Numbered paragraph (Legal) - Level 2"/>
    <w:basedOn w:val="Normal"/>
    <w:link w:val="NumberedparagraphLegal-Level2Char"/>
    <w:rsid w:val="002D420D"/>
    <w:pPr>
      <w:numPr>
        <w:ilvl w:val="1"/>
        <w:numId w:val="7"/>
      </w:numPr>
    </w:pPr>
    <w:rPr>
      <w:rFonts w:asciiTheme="minorHAnsi" w:hAnsiTheme="minorHAnsi"/>
      <w:szCs w:val="22"/>
    </w:rPr>
  </w:style>
  <w:style w:type="paragraph" w:customStyle="1" w:styleId="NumberedparagraphLegal-Level3">
    <w:name w:val="Numbered paragraph (Legal) - Level 3"/>
    <w:basedOn w:val="Normal"/>
    <w:rsid w:val="002D420D"/>
    <w:pPr>
      <w:numPr>
        <w:ilvl w:val="2"/>
        <w:numId w:val="7"/>
      </w:numPr>
    </w:pPr>
    <w:rPr>
      <w:rFonts w:asciiTheme="minorHAnsi" w:hAnsiTheme="minorHAnsi"/>
      <w:szCs w:val="22"/>
    </w:rPr>
  </w:style>
  <w:style w:type="paragraph" w:customStyle="1" w:styleId="FootnoteText1">
    <w:name w:val="Footnote Text1"/>
    <w:basedOn w:val="FootnoteText"/>
    <w:link w:val="FootnotetextChar0"/>
    <w:qFormat/>
    <w:rsid w:val="00D04943"/>
    <w:pPr>
      <w:spacing w:line="240" w:lineRule="atLeast"/>
    </w:pPr>
    <w:rPr>
      <w:rFonts w:ascii="Roboto" w:hAnsi="Roboto"/>
      <w:color w:val="2147ED" w:themeColor="accent1"/>
    </w:rPr>
  </w:style>
  <w:style w:type="paragraph" w:customStyle="1" w:styleId="NumberedLevel2">
    <w:name w:val="Numbered Level 2"/>
    <w:basedOn w:val="NumberedparagraphLegal-Level2"/>
    <w:link w:val="NumberedLevel2Char"/>
    <w:qFormat/>
    <w:rsid w:val="0042782A"/>
    <w:pPr>
      <w:ind w:left="1208"/>
    </w:pPr>
  </w:style>
  <w:style w:type="character" w:customStyle="1" w:styleId="FootnotetextChar0">
    <w:name w:val="Footnote text Char"/>
    <w:basedOn w:val="FootnoteTextChar"/>
    <w:link w:val="FootnoteText1"/>
    <w:rsid w:val="00D04943"/>
    <w:rPr>
      <w:rFonts w:ascii="Roboto" w:hAnsi="Roboto" w:cstheme="minorHAnsi"/>
      <w:color w:val="2147ED" w:themeColor="accent1"/>
      <w:sz w:val="18"/>
      <w:szCs w:val="20"/>
      <w:lang w:val="en-GB"/>
    </w:rPr>
  </w:style>
  <w:style w:type="paragraph" w:customStyle="1" w:styleId="Numberlevel3">
    <w:name w:val="Number level 3"/>
    <w:basedOn w:val="NumberedparagraphLegal-Level3"/>
    <w:link w:val="Numberlevel3Char"/>
    <w:qFormat/>
    <w:rsid w:val="00317861"/>
    <w:pPr>
      <w:tabs>
        <w:tab w:val="left" w:pos="1418"/>
      </w:tabs>
      <w:ind w:left="1208"/>
    </w:pPr>
    <w:rPr>
      <w:rFonts w:ascii="Roboto" w:hAnsi="Roboto"/>
    </w:rPr>
  </w:style>
  <w:style w:type="character" w:customStyle="1" w:styleId="NumberedparagraphLegal-Level2Char">
    <w:name w:val="Numbered paragraph (Legal) - Level 2 Char"/>
    <w:basedOn w:val="DefaultParagraphFont"/>
    <w:link w:val="NumberedparagraphLegal-Level2"/>
    <w:rsid w:val="002D420D"/>
    <w:rPr>
      <w:rFonts w:asciiTheme="minorHAnsi" w:hAnsiTheme="minorHAnsi" w:cstheme="minorHAnsi"/>
      <w:sz w:val="20"/>
      <w:szCs w:val="22"/>
      <w:lang w:val="en-GB"/>
    </w:rPr>
  </w:style>
  <w:style w:type="character" w:customStyle="1" w:styleId="NumberedLevel2Char">
    <w:name w:val="Numbered Level 2 Char"/>
    <w:basedOn w:val="NumberedparagraphLegal-Level2Char"/>
    <w:link w:val="NumberedLevel2"/>
    <w:rsid w:val="0042782A"/>
    <w:rPr>
      <w:rFonts w:asciiTheme="minorHAnsi" w:hAnsiTheme="minorHAnsi" w:cstheme="minorHAnsi"/>
      <w:sz w:val="20"/>
      <w:szCs w:val="22"/>
      <w:lang w:val="en-GB"/>
    </w:rPr>
  </w:style>
  <w:style w:type="paragraph" w:customStyle="1" w:styleId="Bullet">
    <w:name w:val="Bullet"/>
    <w:basedOn w:val="ListNumber2"/>
    <w:link w:val="BulletChar"/>
    <w:qFormat/>
    <w:rsid w:val="00EC382A"/>
    <w:pPr>
      <w:numPr>
        <w:numId w:val="19"/>
      </w:numPr>
    </w:pPr>
  </w:style>
  <w:style w:type="character" w:customStyle="1" w:styleId="Numberlevel3Char">
    <w:name w:val="Number level 3 Char"/>
    <w:basedOn w:val="NumberedLevel2Char"/>
    <w:link w:val="Numberlevel3"/>
    <w:rsid w:val="00317861"/>
    <w:rPr>
      <w:rFonts w:ascii="Roboto" w:hAnsi="Roboto" w:cstheme="minorHAnsi"/>
      <w:sz w:val="20"/>
      <w:szCs w:val="22"/>
      <w:lang w:val="en-GB"/>
    </w:rPr>
  </w:style>
  <w:style w:type="paragraph" w:customStyle="1" w:styleId="textboxheader">
    <w:name w:val="text box header"/>
    <w:basedOn w:val="Normal"/>
    <w:link w:val="textboxheaderChar"/>
    <w:qFormat/>
    <w:rsid w:val="00A71646"/>
    <w:pPr>
      <w:framePr w:hSpace="180" w:wrap="around" w:vAnchor="text" w:hAnchor="text" w:y="45"/>
      <w:spacing w:beforeLines="40" w:before="96" w:afterLines="40" w:after="96"/>
      <w:ind w:left="57" w:right="57"/>
    </w:pPr>
    <w:rPr>
      <w:rFonts w:asciiTheme="majorHAnsi" w:hAnsiTheme="majorHAnsi" w:cstheme="majorHAnsi"/>
      <w:b/>
      <w:bCs/>
      <w:color w:val="1D192B" w:themeColor="text2"/>
    </w:rPr>
  </w:style>
  <w:style w:type="character" w:customStyle="1" w:styleId="BulletChar">
    <w:name w:val="Bullet Char"/>
    <w:basedOn w:val="DefaultParagraphFont"/>
    <w:link w:val="Bullet"/>
    <w:rsid w:val="00EC382A"/>
    <w:rPr>
      <w:rFonts w:ascii="Roboto" w:hAnsi="Roboto" w:cstheme="minorHAnsi"/>
      <w:sz w:val="20"/>
      <w:lang w:val="en-GB"/>
    </w:rPr>
  </w:style>
  <w:style w:type="character" w:customStyle="1" w:styleId="textboxheaderChar">
    <w:name w:val="text box header Char"/>
    <w:basedOn w:val="Heading3Char"/>
    <w:link w:val="textboxheader"/>
    <w:rsid w:val="00E6786F"/>
    <w:rPr>
      <w:rFonts w:asciiTheme="majorHAnsi" w:hAnsiTheme="majorHAnsi" w:cstheme="majorHAnsi"/>
      <w:b/>
      <w:bCs/>
      <w:color w:val="1D192B" w:themeColor="text2"/>
      <w:sz w:val="20"/>
      <w:lang w:val="en-GB"/>
    </w:rPr>
  </w:style>
  <w:style w:type="paragraph" w:customStyle="1" w:styleId="Image">
    <w:name w:val="Image"/>
    <w:aliases w:val="figure,table caption"/>
    <w:basedOn w:val="Caption"/>
    <w:link w:val="ImageChar"/>
    <w:qFormat/>
    <w:rsid w:val="00E6786F"/>
    <w:pPr>
      <w:spacing w:before="360"/>
    </w:pPr>
  </w:style>
  <w:style w:type="character" w:customStyle="1" w:styleId="CaptionChar">
    <w:name w:val="Caption Char"/>
    <w:basedOn w:val="DefaultParagraphFont"/>
    <w:link w:val="Caption"/>
    <w:rsid w:val="00E6786F"/>
    <w:rPr>
      <w:rFonts w:asciiTheme="majorHAnsi" w:hAnsiTheme="majorHAnsi" w:cstheme="majorHAnsi"/>
      <w:b/>
      <w:iCs/>
      <w:sz w:val="20"/>
      <w:szCs w:val="18"/>
      <w:lang w:val="en-GB"/>
    </w:rPr>
  </w:style>
  <w:style w:type="character" w:customStyle="1" w:styleId="ImageChar">
    <w:name w:val="Image Char"/>
    <w:aliases w:val="figure Char,table caption Char"/>
    <w:basedOn w:val="CaptionChar"/>
    <w:link w:val="Image"/>
    <w:rsid w:val="00E6786F"/>
    <w:rPr>
      <w:rFonts w:asciiTheme="majorHAnsi" w:hAnsiTheme="majorHAnsi" w:cstheme="majorHAnsi"/>
      <w:b/>
      <w:iCs/>
      <w:sz w:val="20"/>
      <w:szCs w:val="18"/>
      <w:lang w:val="en-GB"/>
    </w:rPr>
  </w:style>
  <w:style w:type="paragraph" w:customStyle="1" w:styleId="Tableheading-SmallWhite">
    <w:name w:val="Table heading - Small (White)"/>
    <w:basedOn w:val="Normal"/>
    <w:rsid w:val="002D420D"/>
    <w:pPr>
      <w:spacing w:before="60" w:after="60" w:line="240" w:lineRule="auto"/>
      <w:ind w:left="113" w:right="113"/>
    </w:pPr>
    <w:rPr>
      <w:rFonts w:ascii="Arial" w:eastAsia="Times New Roman" w:hAnsi="Arial" w:cs="Times New Roman"/>
      <w:b/>
      <w:color w:val="FFFFFF"/>
      <w:szCs w:val="22"/>
      <w:lang w:eastAsia="en-GB"/>
    </w:rPr>
  </w:style>
  <w:style w:type="paragraph" w:customStyle="1" w:styleId="Tableheading-NormalBlack">
    <w:name w:val="Table heading - Normal (Black)"/>
    <w:basedOn w:val="Normal"/>
    <w:next w:val="Normal"/>
    <w:rsid w:val="002D420D"/>
    <w:pPr>
      <w:spacing w:before="60" w:after="60" w:line="240" w:lineRule="auto"/>
      <w:ind w:left="113" w:right="113"/>
    </w:pPr>
    <w:rPr>
      <w:rFonts w:ascii="Arial" w:eastAsia="Times New Roman" w:hAnsi="Arial" w:cs="Times New Roman"/>
      <w:b/>
      <w:color w:val="000000" w:themeColor="text1"/>
      <w:szCs w:val="20"/>
      <w:lang w:eastAsia="en-GB"/>
    </w:rPr>
  </w:style>
  <w:style w:type="paragraph" w:customStyle="1" w:styleId="Tabletext-Normal">
    <w:name w:val="Table text - Normal"/>
    <w:basedOn w:val="Normal"/>
    <w:rsid w:val="00A13FF6"/>
    <w:pPr>
      <w:spacing w:before="0" w:after="60" w:line="240" w:lineRule="auto"/>
      <w:ind w:left="113" w:right="113"/>
    </w:pPr>
    <w:rPr>
      <w:rFonts w:ascii="Arial" w:eastAsia="Times New Roman" w:hAnsi="Arial" w:cs="Times New Roman"/>
      <w:szCs w:val="22"/>
      <w:lang w:eastAsia="en-GB"/>
    </w:rPr>
  </w:style>
  <w:style w:type="paragraph" w:customStyle="1" w:styleId="Tabletext-Small">
    <w:name w:val="Table text - Small"/>
    <w:basedOn w:val="Tabletext-Normal"/>
    <w:rsid w:val="00A13FF6"/>
  </w:style>
  <w:style w:type="paragraph" w:customStyle="1" w:styleId="Tabletext-NormalBold">
    <w:name w:val="Table text - Normal (Bold)"/>
    <w:basedOn w:val="Tabletext-Normal"/>
    <w:next w:val="Tabletext-Normal"/>
    <w:rsid w:val="00A13FF6"/>
    <w:rPr>
      <w:b/>
    </w:rPr>
  </w:style>
  <w:style w:type="paragraph" w:customStyle="1" w:styleId="Tabletext-SmallBold">
    <w:name w:val="Table text - Small (Bold)"/>
    <w:basedOn w:val="Tabletext-Small"/>
    <w:next w:val="Tabletext-Small"/>
    <w:rsid w:val="00A13FF6"/>
    <w:rPr>
      <w:b/>
    </w:rPr>
  </w:style>
  <w:style w:type="table" w:styleId="TableGridLight">
    <w:name w:val="Grid Table Light"/>
    <w:basedOn w:val="TableNormal"/>
    <w:uiPriority w:val="40"/>
    <w:rsid w:val="009738ED"/>
    <w:pPr>
      <w:spacing w:before="2" w:after="2" w:line="240" w:lineRule="auto"/>
      <w:ind w:left="57" w:right="57"/>
    </w:pPr>
    <w:rPr>
      <w:rFonts w:asciiTheme="minorHAnsi" w:hAnsiTheme="minorHAnsi"/>
      <w:sz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vAlign w:val="center"/>
      </w:tcPr>
    </w:tblStylePr>
  </w:style>
  <w:style w:type="character" w:styleId="CommentReference">
    <w:name w:val="annotation reference"/>
    <w:basedOn w:val="DefaultParagraphFont"/>
    <w:uiPriority w:val="99"/>
    <w:semiHidden/>
    <w:unhideWhenUsed/>
    <w:rsid w:val="00984B66"/>
    <w:rPr>
      <w:sz w:val="16"/>
      <w:szCs w:val="16"/>
    </w:rPr>
  </w:style>
  <w:style w:type="paragraph" w:styleId="CommentSubject">
    <w:name w:val="annotation subject"/>
    <w:basedOn w:val="Normal"/>
    <w:next w:val="Normal"/>
    <w:link w:val="CommentSubjectChar"/>
    <w:uiPriority w:val="99"/>
    <w:semiHidden/>
    <w:unhideWhenUsed/>
    <w:rsid w:val="00D04943"/>
    <w:pPr>
      <w:spacing w:line="240" w:lineRule="auto"/>
    </w:pPr>
    <w:rPr>
      <w:b/>
      <w:bCs/>
      <w:szCs w:val="20"/>
    </w:rPr>
  </w:style>
  <w:style w:type="character" w:customStyle="1" w:styleId="CommentSubjectChar">
    <w:name w:val="Comment Subject Char"/>
    <w:basedOn w:val="DefaultParagraphFont"/>
    <w:link w:val="CommentSubject"/>
    <w:uiPriority w:val="99"/>
    <w:semiHidden/>
    <w:rsid w:val="00D04943"/>
    <w:rPr>
      <w:rFonts w:ascii="DINOT" w:hAnsi="DINOT" w:cs="DINOT"/>
      <w:b/>
      <w:bCs/>
      <w:sz w:val="20"/>
      <w:szCs w:val="20"/>
      <w:lang w:val="en-GB"/>
    </w:rPr>
  </w:style>
  <w:style w:type="paragraph" w:styleId="BalloonText">
    <w:name w:val="Balloon Text"/>
    <w:basedOn w:val="Normal"/>
    <w:link w:val="BalloonTextChar"/>
    <w:uiPriority w:val="99"/>
    <w:semiHidden/>
    <w:unhideWhenUsed/>
    <w:rsid w:val="00984B6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B66"/>
    <w:rPr>
      <w:rFonts w:ascii="Segoe UI" w:hAnsi="Segoe UI" w:cs="Segoe UI"/>
      <w:sz w:val="18"/>
      <w:szCs w:val="18"/>
      <w:lang w:val="en-GB"/>
    </w:rPr>
  </w:style>
  <w:style w:type="paragraph" w:customStyle="1" w:styleId="Keytext">
    <w:name w:val="Key text"/>
    <w:basedOn w:val="Normal"/>
    <w:link w:val="KeytextChar"/>
    <w:qFormat/>
    <w:rsid w:val="008B7058"/>
    <w:pPr>
      <w:spacing w:before="360"/>
    </w:pPr>
    <w:rPr>
      <w:rFonts w:cs="DINOT-Bold"/>
      <w:b/>
      <w:color w:val="000000" w:themeColor="text1"/>
      <w:sz w:val="22"/>
    </w:rPr>
  </w:style>
  <w:style w:type="paragraph" w:styleId="ListParagraph">
    <w:name w:val="List Paragraph"/>
    <w:basedOn w:val="Normal"/>
    <w:uiPriority w:val="34"/>
    <w:qFormat/>
    <w:rsid w:val="000E5228"/>
    <w:pPr>
      <w:ind w:left="720"/>
      <w:contextualSpacing/>
    </w:pPr>
  </w:style>
  <w:style w:type="character" w:customStyle="1" w:styleId="KeytextChar">
    <w:name w:val="Key text Char"/>
    <w:basedOn w:val="DefaultParagraphFont"/>
    <w:link w:val="Keytext"/>
    <w:rsid w:val="008B7058"/>
    <w:rPr>
      <w:rFonts w:ascii="Roboto" w:hAnsi="Roboto" w:cs="DINOT-Bold"/>
      <w:b/>
      <w:color w:val="000000" w:themeColor="text1"/>
      <w:sz w:val="22"/>
      <w:lang w:val="en-GB"/>
    </w:rPr>
  </w:style>
  <w:style w:type="table" w:styleId="GridTable4-Accent3">
    <w:name w:val="Grid Table 4 Accent 3"/>
    <w:basedOn w:val="TableNormal"/>
    <w:uiPriority w:val="49"/>
    <w:rsid w:val="00450820"/>
    <w:pPr>
      <w:spacing w:line="240" w:lineRule="auto"/>
    </w:pPr>
    <w:tblPr>
      <w:tblStyleRowBandSize w:val="1"/>
      <w:tblStyleColBandSize w:val="1"/>
      <w:tblBorders>
        <w:top w:val="single" w:sz="4" w:space="0" w:color="E573D6" w:themeColor="accent3" w:themeTint="99"/>
        <w:left w:val="single" w:sz="4" w:space="0" w:color="E573D6" w:themeColor="accent3" w:themeTint="99"/>
        <w:bottom w:val="single" w:sz="4" w:space="0" w:color="E573D6" w:themeColor="accent3" w:themeTint="99"/>
        <w:right w:val="single" w:sz="4" w:space="0" w:color="E573D6" w:themeColor="accent3" w:themeTint="99"/>
        <w:insideH w:val="single" w:sz="4" w:space="0" w:color="E573D6" w:themeColor="accent3" w:themeTint="99"/>
        <w:insideV w:val="single" w:sz="4" w:space="0" w:color="E573D6" w:themeColor="accent3" w:themeTint="99"/>
      </w:tblBorders>
    </w:tblPr>
    <w:tblStylePr w:type="firstRow">
      <w:rPr>
        <w:b/>
        <w:bCs/>
        <w:color w:val="FFFFFF" w:themeColor="background1"/>
      </w:rPr>
      <w:tblPr/>
      <w:tcPr>
        <w:tcBorders>
          <w:top w:val="single" w:sz="4" w:space="0" w:color="C724B1" w:themeColor="accent3"/>
          <w:left w:val="single" w:sz="4" w:space="0" w:color="C724B1" w:themeColor="accent3"/>
          <w:bottom w:val="single" w:sz="4" w:space="0" w:color="C724B1" w:themeColor="accent3"/>
          <w:right w:val="single" w:sz="4" w:space="0" w:color="C724B1" w:themeColor="accent3"/>
          <w:insideH w:val="nil"/>
          <w:insideV w:val="nil"/>
        </w:tcBorders>
        <w:shd w:val="clear" w:color="auto" w:fill="C724B1" w:themeFill="accent3"/>
      </w:tcPr>
    </w:tblStylePr>
    <w:tblStylePr w:type="lastRow">
      <w:rPr>
        <w:b/>
        <w:bCs/>
      </w:rPr>
      <w:tblPr/>
      <w:tcPr>
        <w:tcBorders>
          <w:top w:val="double" w:sz="4" w:space="0" w:color="C724B1" w:themeColor="accent3"/>
        </w:tcBorders>
      </w:tcPr>
    </w:tblStylePr>
    <w:tblStylePr w:type="firstCol">
      <w:rPr>
        <w:b/>
        <w:bCs/>
      </w:rPr>
    </w:tblStylePr>
    <w:tblStylePr w:type="lastCol">
      <w:rPr>
        <w:b/>
        <w:bCs/>
      </w:rPr>
    </w:tblStylePr>
    <w:tblStylePr w:type="band1Vert">
      <w:tblPr/>
      <w:tcPr>
        <w:shd w:val="clear" w:color="auto" w:fill="F6D0F1" w:themeFill="accent3" w:themeFillTint="33"/>
      </w:tcPr>
    </w:tblStylePr>
    <w:tblStylePr w:type="band1Horz">
      <w:tblPr/>
      <w:tcPr>
        <w:shd w:val="clear" w:color="auto" w:fill="F6D0F1" w:themeFill="accent3" w:themeFillTint="33"/>
      </w:tcPr>
    </w:tblStylePr>
  </w:style>
  <w:style w:type="table" w:styleId="ListTable1Light-Accent1">
    <w:name w:val="List Table 1 Light Accent 1"/>
    <w:basedOn w:val="TableNormal"/>
    <w:uiPriority w:val="46"/>
    <w:rsid w:val="00791D4F"/>
    <w:pPr>
      <w:spacing w:line="240" w:lineRule="auto"/>
    </w:pPr>
    <w:tblPr>
      <w:tblStyleRowBandSize w:val="1"/>
      <w:tblStyleColBandSize w:val="1"/>
    </w:tblPr>
    <w:tblStylePr w:type="firstRow">
      <w:rPr>
        <w:b/>
        <w:bCs/>
      </w:rPr>
      <w:tblPr/>
      <w:tcPr>
        <w:tcBorders>
          <w:bottom w:val="single" w:sz="4" w:space="0" w:color="7990F4" w:themeColor="accent1" w:themeTint="99"/>
        </w:tcBorders>
      </w:tcPr>
    </w:tblStylePr>
    <w:tblStylePr w:type="lastRow">
      <w:rPr>
        <w:b/>
        <w:bCs/>
      </w:rPr>
      <w:tblPr/>
      <w:tcPr>
        <w:tcBorders>
          <w:top w:val="single" w:sz="4" w:space="0" w:color="7990F4" w:themeColor="accent1" w:themeTint="99"/>
        </w:tcBorders>
      </w:tcPr>
    </w:tblStylePr>
    <w:tblStylePr w:type="firstCol">
      <w:rPr>
        <w:b/>
        <w:bCs/>
      </w:rPr>
    </w:tblStylePr>
    <w:tblStylePr w:type="lastCol">
      <w:rPr>
        <w:b/>
        <w:bCs/>
      </w:rPr>
    </w:tblStylePr>
    <w:tblStylePr w:type="band1Vert">
      <w:tblPr/>
      <w:tcPr>
        <w:shd w:val="clear" w:color="auto" w:fill="D2DAFB" w:themeFill="accent1" w:themeFillTint="33"/>
      </w:tcPr>
    </w:tblStylePr>
    <w:tblStylePr w:type="band1Horz">
      <w:tblPr/>
      <w:tcPr>
        <w:shd w:val="clear" w:color="auto" w:fill="D2DAFB" w:themeFill="accent1" w:themeFillTint="33"/>
      </w:tcPr>
    </w:tblStylePr>
  </w:style>
  <w:style w:type="paragraph" w:customStyle="1" w:styleId="Bullettable">
    <w:name w:val="Bullet table"/>
    <w:basedOn w:val="Normal"/>
    <w:link w:val="BullettableChar"/>
    <w:qFormat/>
    <w:rsid w:val="00A71646"/>
    <w:pPr>
      <w:framePr w:hSpace="180" w:wrap="around" w:vAnchor="text" w:hAnchor="text" w:y="45"/>
      <w:numPr>
        <w:numId w:val="10"/>
      </w:numPr>
      <w:spacing w:beforeLines="40" w:before="96" w:afterLines="40" w:after="96" w:line="240" w:lineRule="exact"/>
    </w:pPr>
  </w:style>
  <w:style w:type="paragraph" w:customStyle="1" w:styleId="Tablenumbering">
    <w:name w:val="Table numbering"/>
    <w:basedOn w:val="ListNumber"/>
    <w:link w:val="TablenumberingChar"/>
    <w:qFormat/>
    <w:rsid w:val="00E6786F"/>
    <w:pPr>
      <w:numPr>
        <w:numId w:val="12"/>
      </w:numPr>
      <w:spacing w:before="8" w:after="8" w:line="240" w:lineRule="atLeast"/>
      <w:ind w:right="57"/>
    </w:pPr>
  </w:style>
  <w:style w:type="character" w:customStyle="1" w:styleId="BullettableChar">
    <w:name w:val="Bullet table Char"/>
    <w:basedOn w:val="DefaultParagraphFont"/>
    <w:link w:val="Bullettable"/>
    <w:rsid w:val="00A71646"/>
    <w:rPr>
      <w:rFonts w:ascii="Roboto" w:hAnsi="Roboto" w:cstheme="minorHAnsi"/>
      <w:sz w:val="20"/>
      <w:lang w:val="en-GB"/>
    </w:rPr>
  </w:style>
  <w:style w:type="paragraph" w:customStyle="1" w:styleId="Titlename">
    <w:name w:val="Title name"/>
    <w:basedOn w:val="Normal"/>
    <w:link w:val="TitlenameChar"/>
    <w:rsid w:val="00D04943"/>
    <w:pPr>
      <w:tabs>
        <w:tab w:val="center" w:pos="4513"/>
        <w:tab w:val="right" w:pos="9026"/>
      </w:tabs>
      <w:jc w:val="right"/>
    </w:pPr>
    <w:rPr>
      <w:rFonts w:asciiTheme="majorHAnsi" w:hAnsiTheme="majorHAnsi" w:cstheme="majorHAnsi"/>
      <w:b/>
      <w:caps/>
      <w:color w:val="2147ED" w:themeColor="accent1"/>
      <w:spacing w:val="4"/>
      <w:sz w:val="18"/>
    </w:rPr>
  </w:style>
  <w:style w:type="character" w:customStyle="1" w:styleId="ListNumberChar">
    <w:name w:val="List Number Char"/>
    <w:basedOn w:val="DefaultParagraphFont"/>
    <w:link w:val="ListNumber"/>
    <w:rsid w:val="00A71646"/>
    <w:rPr>
      <w:rFonts w:ascii="Roboto" w:hAnsi="Roboto" w:cstheme="minorHAnsi"/>
      <w:sz w:val="20"/>
      <w:lang w:val="en-GB"/>
    </w:rPr>
  </w:style>
  <w:style w:type="character" w:customStyle="1" w:styleId="TablenumberingChar">
    <w:name w:val="Table numbering Char"/>
    <w:basedOn w:val="ListNumberChar"/>
    <w:link w:val="Tablenumbering"/>
    <w:rsid w:val="00E6786F"/>
    <w:rPr>
      <w:rFonts w:ascii="Roboto" w:hAnsi="Roboto" w:cstheme="minorHAnsi"/>
      <w:sz w:val="20"/>
      <w:lang w:val="en-GB"/>
    </w:rPr>
  </w:style>
  <w:style w:type="paragraph" w:customStyle="1" w:styleId="Whitebody">
    <w:name w:val="White body"/>
    <w:basedOn w:val="Normal"/>
    <w:link w:val="WhitebodyChar"/>
    <w:qFormat/>
    <w:rsid w:val="00A71646"/>
    <w:rPr>
      <w:color w:val="FFFFFF" w:themeColor="background1"/>
    </w:rPr>
  </w:style>
  <w:style w:type="paragraph" w:customStyle="1" w:styleId="Whitebullets">
    <w:name w:val="White bullets"/>
    <w:basedOn w:val="Whitebody"/>
    <w:link w:val="WhitebulletsChar"/>
    <w:qFormat/>
    <w:rsid w:val="00791F3A"/>
    <w:pPr>
      <w:numPr>
        <w:numId w:val="14"/>
      </w:numPr>
    </w:pPr>
  </w:style>
  <w:style w:type="character" w:customStyle="1" w:styleId="WhitebodyChar">
    <w:name w:val="White body Char"/>
    <w:basedOn w:val="DefaultParagraphFont"/>
    <w:link w:val="Whitebody"/>
    <w:rsid w:val="002B677A"/>
    <w:rPr>
      <w:rFonts w:ascii="Calibri" w:hAnsi="Calibri" w:cs="Calibri"/>
      <w:color w:val="FFFFFF" w:themeColor="background1"/>
      <w:sz w:val="22"/>
      <w:lang w:val="en-GB"/>
    </w:rPr>
  </w:style>
  <w:style w:type="character" w:customStyle="1" w:styleId="WhitebulletsChar">
    <w:name w:val="White bullets Char"/>
    <w:basedOn w:val="BulletChar"/>
    <w:link w:val="Whitebullets"/>
    <w:rsid w:val="002B677A"/>
    <w:rPr>
      <w:rFonts w:ascii="Roboto" w:hAnsi="Roboto" w:cstheme="minorHAnsi"/>
      <w:color w:val="FFFFFF" w:themeColor="background1"/>
      <w:sz w:val="20"/>
      <w:lang w:val="en-GB"/>
    </w:rPr>
  </w:style>
  <w:style w:type="paragraph" w:customStyle="1" w:styleId="Doccasestudyheading">
    <w:name w:val="Doc + case study heading"/>
    <w:basedOn w:val="Heading2"/>
    <w:link w:val="DoccasestudyheadingChar"/>
    <w:qFormat/>
    <w:rsid w:val="00E6786F"/>
    <w:pPr>
      <w:spacing w:before="360"/>
      <w:ind w:left="57" w:right="57"/>
      <w:outlineLvl w:val="9"/>
    </w:pPr>
    <w:rPr>
      <w:rFonts w:ascii="Arial Bold" w:hAnsi="Arial Bold"/>
      <w:b w:val="0"/>
      <w:caps/>
      <w:noProof/>
      <w:color w:val="2147ED" w:themeColor="accent1"/>
      <w:spacing w:val="6"/>
      <w:sz w:val="22"/>
    </w:rPr>
  </w:style>
  <w:style w:type="character" w:customStyle="1" w:styleId="DoccasestudyheadingChar">
    <w:name w:val="Doc + case study heading Char"/>
    <w:basedOn w:val="Heading2Char"/>
    <w:link w:val="Doccasestudyheading"/>
    <w:rsid w:val="00E6786F"/>
    <w:rPr>
      <w:rFonts w:ascii="Arial Bold" w:eastAsiaTheme="minorEastAsia" w:hAnsi="Arial Bold" w:cs="Arial"/>
      <w:b w:val="0"/>
      <w:caps/>
      <w:noProof/>
      <w:color w:val="2147ED" w:themeColor="accent1"/>
      <w:spacing w:val="6"/>
      <w:sz w:val="22"/>
      <w:szCs w:val="100"/>
      <w:lang w:val="en-GB"/>
    </w:rPr>
  </w:style>
  <w:style w:type="character" w:customStyle="1" w:styleId="Heading1BlackChar">
    <w:name w:val="Heading 1 Black Char"/>
    <w:basedOn w:val="Heading1Char"/>
    <w:link w:val="Heading1Black"/>
    <w:rsid w:val="004905AA"/>
    <w:rPr>
      <w:rFonts w:ascii="Arial" w:eastAsiaTheme="minorEastAsia" w:hAnsi="Arial" w:cs="Arial"/>
      <w:b/>
      <w:color w:val="000000" w:themeColor="text1"/>
      <w:spacing w:val="-8"/>
      <w:sz w:val="40"/>
      <w:szCs w:val="100"/>
      <w:lang w:val="en-GB"/>
    </w:rPr>
  </w:style>
  <w:style w:type="paragraph" w:customStyle="1" w:styleId="Sectionheading">
    <w:name w:val="Section heading"/>
    <w:basedOn w:val="Heading1Black"/>
    <w:link w:val="SectionheadingChar"/>
    <w:qFormat/>
    <w:rsid w:val="00AF26A5"/>
    <w:pPr>
      <w:outlineLvl w:val="0"/>
    </w:pPr>
    <w:rPr>
      <w:rFonts w:ascii="Arial Bold" w:hAnsi="Arial Bold"/>
      <w:caps/>
      <w:color w:val="2147ED" w:themeColor="accent1"/>
      <w:spacing w:val="8"/>
      <w:sz w:val="22"/>
    </w:rPr>
  </w:style>
  <w:style w:type="paragraph" w:styleId="TOC4">
    <w:name w:val="toc 4"/>
    <w:basedOn w:val="Normal"/>
    <w:next w:val="Normal"/>
    <w:autoRedefine/>
    <w:uiPriority w:val="39"/>
    <w:unhideWhenUsed/>
    <w:rsid w:val="00C026D4"/>
    <w:pPr>
      <w:tabs>
        <w:tab w:val="left" w:pos="567"/>
        <w:tab w:val="right" w:leader="dot" w:pos="9044"/>
      </w:tabs>
      <w:spacing w:after="100"/>
      <w:ind w:left="567"/>
    </w:pPr>
    <w:rPr>
      <w:rFonts w:ascii="Arial" w:hAnsi="Arial"/>
      <w:sz w:val="22"/>
    </w:rPr>
  </w:style>
  <w:style w:type="paragraph" w:styleId="TOC5">
    <w:name w:val="toc 5"/>
    <w:basedOn w:val="Normal"/>
    <w:next w:val="Normal"/>
    <w:autoRedefine/>
    <w:uiPriority w:val="39"/>
    <w:semiHidden/>
    <w:unhideWhenUsed/>
    <w:rsid w:val="00D6487A"/>
    <w:pPr>
      <w:tabs>
        <w:tab w:val="left" w:pos="567"/>
        <w:tab w:val="right" w:leader="dot" w:pos="9027"/>
      </w:tabs>
      <w:spacing w:after="100"/>
      <w:ind w:left="800"/>
    </w:pPr>
    <w:rPr>
      <w:color w:val="000000" w:themeColor="text1"/>
    </w:rPr>
  </w:style>
  <w:style w:type="paragraph" w:styleId="TOC7">
    <w:name w:val="toc 7"/>
    <w:basedOn w:val="Normal"/>
    <w:next w:val="Normal"/>
    <w:autoRedefine/>
    <w:uiPriority w:val="39"/>
    <w:semiHidden/>
    <w:unhideWhenUsed/>
    <w:rsid w:val="00D6487A"/>
    <w:pPr>
      <w:tabs>
        <w:tab w:val="left" w:pos="567"/>
        <w:tab w:val="right" w:leader="dot" w:pos="9027"/>
      </w:tabs>
      <w:spacing w:after="100"/>
      <w:ind w:left="1200"/>
    </w:pPr>
    <w:rPr>
      <w:rFonts w:ascii="Arial" w:hAnsi="Arial"/>
      <w:color w:val="000000" w:themeColor="text1"/>
    </w:rPr>
  </w:style>
  <w:style w:type="paragraph" w:styleId="TOC8">
    <w:name w:val="toc 8"/>
    <w:basedOn w:val="Normal"/>
    <w:next w:val="Normal"/>
    <w:autoRedefine/>
    <w:uiPriority w:val="39"/>
    <w:semiHidden/>
    <w:unhideWhenUsed/>
    <w:rsid w:val="00317861"/>
    <w:pPr>
      <w:spacing w:after="100"/>
      <w:ind w:left="1400"/>
    </w:pPr>
    <w:rPr>
      <w:color w:val="000000" w:themeColor="text1"/>
    </w:rPr>
  </w:style>
  <w:style w:type="paragraph" w:styleId="TOC9">
    <w:name w:val="toc 9"/>
    <w:basedOn w:val="Normal"/>
    <w:next w:val="Normal"/>
    <w:autoRedefine/>
    <w:uiPriority w:val="39"/>
    <w:semiHidden/>
    <w:unhideWhenUsed/>
    <w:rsid w:val="00317861"/>
    <w:pPr>
      <w:spacing w:after="100"/>
      <w:ind w:left="1600"/>
    </w:pPr>
    <w:rPr>
      <w:color w:val="000000" w:themeColor="text1"/>
    </w:rPr>
  </w:style>
  <w:style w:type="character" w:customStyle="1" w:styleId="SectionheadingChar">
    <w:name w:val="Section heading Char"/>
    <w:basedOn w:val="Heading1BlackChar"/>
    <w:link w:val="Sectionheading"/>
    <w:rsid w:val="00AF26A5"/>
    <w:rPr>
      <w:rFonts w:ascii="Arial Bold" w:eastAsiaTheme="minorEastAsia" w:hAnsi="Arial Bold" w:cs="Arial"/>
      <w:b w:val="0"/>
      <w:caps/>
      <w:color w:val="2147ED" w:themeColor="accent1"/>
      <w:spacing w:val="8"/>
      <w:sz w:val="22"/>
      <w:szCs w:val="100"/>
      <w:lang w:val="en-GB"/>
    </w:rPr>
  </w:style>
  <w:style w:type="table" w:styleId="ListTable4">
    <w:name w:val="List Table 4"/>
    <w:basedOn w:val="TableNormal"/>
    <w:uiPriority w:val="49"/>
    <w:rsid w:val="00D9031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CarbonTrust">
    <w:name w:val="Carbon Trust"/>
    <w:basedOn w:val="TableNormal"/>
    <w:uiPriority w:val="99"/>
    <w:rsid w:val="00F844A6"/>
    <w:pPr>
      <w:spacing w:before="2" w:after="2" w:line="240" w:lineRule="auto"/>
      <w:ind w:left="57" w:right="57"/>
    </w:pPr>
    <w:rPr>
      <w:rFonts w:ascii="Roboto" w:hAnsi="Roboto"/>
      <w:sz w:val="22"/>
    </w:rPr>
    <w:tblPr>
      <w:tblStyleRowBandSize w:val="1"/>
    </w:tblPr>
    <w:tcPr>
      <w:vAlign w:val="center"/>
    </w:tcPr>
    <w:tblStylePr w:type="firstRow">
      <w:rPr>
        <w:rFonts w:ascii="Lato Black" w:hAnsi="Lato Black"/>
        <w:b/>
        <w:sz w:val="20"/>
      </w:rPr>
      <w:tblPr/>
      <w:tcPr>
        <w:shd w:val="clear" w:color="auto" w:fill="000000" w:themeFill="text1"/>
      </w:tcPr>
    </w:tblStylePr>
    <w:tblStylePr w:type="band1Horz">
      <w:rPr>
        <w:rFonts w:ascii="Lato Black" w:hAnsi="Lato Black"/>
        <w:sz w:val="20"/>
      </w:rPr>
      <w:tblPr/>
      <w:tcPr>
        <w:shd w:val="clear" w:color="auto" w:fill="F2F2F2" w:themeFill="background1" w:themeFillShade="F2"/>
      </w:tcPr>
    </w:tblStylePr>
    <w:tblStylePr w:type="band2Horz">
      <w:rPr>
        <w:rFonts w:ascii="Lato Black" w:hAnsi="Lato Black"/>
        <w:sz w:val="20"/>
      </w:rPr>
      <w:tblPr/>
      <w:tcPr>
        <w:shd w:val="clear" w:color="auto" w:fill="FFFFFF" w:themeFill="background1"/>
      </w:tcPr>
    </w:tblStylePr>
  </w:style>
  <w:style w:type="table" w:customStyle="1" w:styleId="CarbonTrust2">
    <w:name w:val="Carbon Trust 2"/>
    <w:basedOn w:val="TableNormal"/>
    <w:uiPriority w:val="99"/>
    <w:rsid w:val="000F7644"/>
    <w:pPr>
      <w:spacing w:before="2" w:after="2" w:line="240" w:lineRule="auto"/>
      <w:ind w:left="57" w:right="57"/>
    </w:pPr>
    <w:tblPr>
      <w:tblStyleRowBandSize w:val="1"/>
    </w:tblPr>
    <w:tblStylePr w:type="firstRow">
      <w:rPr>
        <w:rFonts w:ascii="Lato Black" w:hAnsi="Lato Black"/>
        <w:b/>
        <w:sz w:val="20"/>
      </w:rPr>
      <w:tblPr/>
      <w:tcPr>
        <w:shd w:val="clear" w:color="auto" w:fill="000000" w:themeFill="text1"/>
        <w:vAlign w:val="center"/>
      </w:tcPr>
    </w:tblStylePr>
    <w:tblStylePr w:type="firstCol">
      <w:tblPr/>
      <w:tcPr>
        <w:tcBorders>
          <w:right w:val="single" w:sz="8" w:space="0" w:color="000000" w:themeColor="text1"/>
        </w:tcBorders>
        <w:shd w:val="clear" w:color="auto" w:fill="FFFFFF" w:themeFill="background1"/>
        <w:vAlign w:val="center"/>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F844A6"/>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CarbonTrust3">
    <w:name w:val="Carbon Trust 3"/>
    <w:basedOn w:val="TableNormal"/>
    <w:uiPriority w:val="99"/>
    <w:rsid w:val="000F7644"/>
    <w:pPr>
      <w:spacing w:before="2" w:after="2" w:line="240" w:lineRule="auto"/>
      <w:ind w:left="57" w:right="57"/>
    </w:pPr>
    <w:rPr>
      <w:rFonts w:ascii="Roboto" w:hAnsi="Roboto"/>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Lato Black" w:hAnsi="Lato Black"/>
        <w:b/>
        <w:color w:val="000000"/>
        <w:sz w:val="20"/>
      </w:rPr>
    </w:tblStylePr>
    <w:tblStylePr w:type="lastRow">
      <w:rPr>
        <w:sz w:val="20"/>
      </w:rPr>
    </w:tblStylePr>
    <w:tblStylePr w:type="firstCol">
      <w:rPr>
        <w:rFonts w:ascii="Lato Black" w:hAnsi="Lato Black"/>
        <w:color w:val="000000" w:themeColor="text1"/>
        <w:sz w:val="22"/>
      </w:rPr>
    </w:tblStylePr>
    <w:tblStylePr w:type="band1Horz">
      <w:rPr>
        <w:rFonts w:ascii="Lato Black" w:hAnsi="Lato Black"/>
      </w:rPr>
    </w:tblStylePr>
    <w:tblStylePr w:type="band2Horz">
      <w:rPr>
        <w:rFonts w:ascii="Lato Black" w:hAnsi="Lato Black"/>
      </w:rPr>
    </w:tblStylePr>
  </w:style>
  <w:style w:type="paragraph" w:customStyle="1" w:styleId="AppendixH1">
    <w:name w:val="Appendix H1"/>
    <w:basedOn w:val="Heading1"/>
    <w:next w:val="Normal"/>
    <w:qFormat/>
    <w:rsid w:val="004C47F4"/>
    <w:pPr>
      <w:numPr>
        <w:numId w:val="16"/>
      </w:numPr>
      <w:outlineLvl w:val="5"/>
    </w:pPr>
    <w:rPr>
      <w:rFonts w:asciiTheme="majorHAnsi" w:hAnsiTheme="majorHAnsi" w:cstheme="majorHAnsi"/>
      <w:noProof/>
      <w:color w:val="auto"/>
      <w:spacing w:val="-6"/>
      <w:sz w:val="36"/>
      <w:szCs w:val="40"/>
    </w:rPr>
  </w:style>
  <w:style w:type="paragraph" w:customStyle="1" w:styleId="AppendixH2">
    <w:name w:val="Appendix H2"/>
    <w:basedOn w:val="ListParagraph"/>
    <w:next w:val="Normal"/>
    <w:link w:val="AppendixH2Char"/>
    <w:qFormat/>
    <w:rsid w:val="00D6487A"/>
    <w:pPr>
      <w:numPr>
        <w:ilvl w:val="1"/>
        <w:numId w:val="17"/>
      </w:numPr>
      <w:spacing w:before="480" w:after="120"/>
      <w:outlineLvl w:val="1"/>
    </w:pPr>
    <w:rPr>
      <w:rFonts w:asciiTheme="majorHAnsi" w:hAnsiTheme="majorHAnsi" w:cstheme="majorHAnsi"/>
      <w:b/>
      <w:color w:val="000000" w:themeColor="text1"/>
      <w:sz w:val="28"/>
    </w:rPr>
  </w:style>
  <w:style w:type="character" w:customStyle="1" w:styleId="AppendixH2Char">
    <w:name w:val="Appendix H2 Char"/>
    <w:basedOn w:val="Heading3Char"/>
    <w:link w:val="AppendixH2"/>
    <w:rsid w:val="00D6487A"/>
    <w:rPr>
      <w:rFonts w:asciiTheme="majorHAnsi" w:hAnsiTheme="majorHAnsi" w:cstheme="majorHAnsi"/>
      <w:b/>
      <w:color w:val="000000" w:themeColor="text1"/>
      <w:sz w:val="28"/>
      <w:lang w:val="en-GB"/>
    </w:rPr>
  </w:style>
  <w:style w:type="paragraph" w:customStyle="1" w:styleId="AppendixH3">
    <w:name w:val="Appendix H3"/>
    <w:basedOn w:val="Normal"/>
    <w:next w:val="Normal"/>
    <w:link w:val="AppendixH3Char"/>
    <w:qFormat/>
    <w:rsid w:val="00FC72DC"/>
    <w:pPr>
      <w:numPr>
        <w:ilvl w:val="2"/>
        <w:numId w:val="17"/>
      </w:numPr>
      <w:spacing w:before="360" w:after="120"/>
      <w:outlineLvl w:val="7"/>
    </w:pPr>
    <w:rPr>
      <w:rFonts w:asciiTheme="majorHAnsi" w:hAnsiTheme="majorHAnsi" w:cstheme="majorHAnsi"/>
      <w:b/>
      <w:color w:val="2147ED" w:themeColor="accent1"/>
      <w:sz w:val="22"/>
      <w:szCs w:val="22"/>
    </w:rPr>
  </w:style>
  <w:style w:type="character" w:customStyle="1" w:styleId="AppendixH3Char">
    <w:name w:val="Appendix H3 Char"/>
    <w:basedOn w:val="Heading4Char"/>
    <w:link w:val="AppendixH3"/>
    <w:rsid w:val="00FC72DC"/>
    <w:rPr>
      <w:rFonts w:asciiTheme="majorHAnsi" w:hAnsiTheme="majorHAnsi" w:cstheme="majorHAnsi"/>
      <w:b/>
      <w:color w:val="2147ED" w:themeColor="accent1"/>
      <w:sz w:val="22"/>
      <w:szCs w:val="22"/>
      <w:lang w:val="en-GB"/>
    </w:rPr>
  </w:style>
  <w:style w:type="numbering" w:customStyle="1" w:styleId="Appendixheadings">
    <w:name w:val="Appendix headings"/>
    <w:uiPriority w:val="99"/>
    <w:rsid w:val="00987F6E"/>
    <w:pPr>
      <w:numPr>
        <w:numId w:val="18"/>
      </w:numPr>
    </w:pPr>
  </w:style>
  <w:style w:type="paragraph" w:customStyle="1" w:styleId="Introductorytext">
    <w:name w:val="Introductory text"/>
    <w:basedOn w:val="Normal"/>
    <w:link w:val="IntroductorytextChar"/>
    <w:qFormat/>
    <w:rsid w:val="00B529F4"/>
    <w:pPr>
      <w:spacing w:line="320" w:lineRule="atLeast"/>
    </w:pPr>
    <w:rPr>
      <w:sz w:val="22"/>
    </w:rPr>
  </w:style>
  <w:style w:type="character" w:customStyle="1" w:styleId="TitlenameChar">
    <w:name w:val="Title name Char"/>
    <w:basedOn w:val="DefaultParagraphFont"/>
    <w:link w:val="Titlename"/>
    <w:rsid w:val="00D04943"/>
    <w:rPr>
      <w:rFonts w:asciiTheme="majorHAnsi" w:hAnsiTheme="majorHAnsi" w:cstheme="majorHAnsi"/>
      <w:b/>
      <w:caps/>
      <w:color w:val="2147ED" w:themeColor="accent1"/>
      <w:spacing w:val="4"/>
      <w:sz w:val="18"/>
      <w:lang w:val="en-GB"/>
    </w:rPr>
  </w:style>
  <w:style w:type="character" w:customStyle="1" w:styleId="IntroductorytextChar">
    <w:name w:val="Introductory text Char"/>
    <w:basedOn w:val="DefaultParagraphFont"/>
    <w:link w:val="Introductorytext"/>
    <w:rsid w:val="00B529F4"/>
    <w:rPr>
      <w:rFonts w:ascii="Roboto" w:hAnsi="Roboto" w:cstheme="minorHAnsi"/>
      <w:sz w:val="22"/>
      <w:lang w:val="en-GB"/>
    </w:rPr>
  </w:style>
  <w:style w:type="paragraph" w:styleId="BodyText">
    <w:name w:val="Body Text"/>
    <w:basedOn w:val="Normal"/>
    <w:link w:val="BodyTextChar"/>
    <w:unhideWhenUsed/>
    <w:qFormat/>
    <w:rsid w:val="00F95735"/>
    <w:pPr>
      <w:spacing w:after="120"/>
    </w:pPr>
  </w:style>
  <w:style w:type="character" w:customStyle="1" w:styleId="BodyTextChar">
    <w:name w:val="Body Text Char"/>
    <w:basedOn w:val="DefaultParagraphFont"/>
    <w:link w:val="BodyText"/>
    <w:rsid w:val="00F95735"/>
    <w:rPr>
      <w:rFonts w:ascii="Roboto" w:hAnsi="Roboto" w:cstheme="minorHAnsi"/>
      <w:sz w:val="20"/>
      <w:lang w:val="en-GB"/>
    </w:rPr>
  </w:style>
  <w:style w:type="paragraph" w:styleId="Header">
    <w:name w:val="header"/>
    <w:basedOn w:val="Normal"/>
    <w:link w:val="HeaderChar"/>
    <w:uiPriority w:val="99"/>
    <w:unhideWhenUsed/>
    <w:rsid w:val="00B61A4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61A44"/>
    <w:rPr>
      <w:rFonts w:ascii="Roboto" w:hAnsi="Roboto" w:cstheme="minorHAnsi"/>
      <w:sz w:val="20"/>
      <w:lang w:val="en-GB"/>
    </w:rPr>
  </w:style>
  <w:style w:type="paragraph" w:styleId="Footer">
    <w:name w:val="footer"/>
    <w:basedOn w:val="Normal"/>
    <w:link w:val="FooterChar"/>
    <w:uiPriority w:val="99"/>
    <w:unhideWhenUsed/>
    <w:rsid w:val="00B61A4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61A44"/>
    <w:rPr>
      <w:rFonts w:ascii="Roboto" w:hAnsi="Roboto" w:cstheme="minorHAnsi"/>
      <w:sz w:val="20"/>
      <w:lang w:val="en-GB"/>
    </w:rPr>
  </w:style>
  <w:style w:type="paragraph" w:customStyle="1" w:styleId="Titlenametopright">
    <w:name w:val="Title name (top right)"/>
    <w:basedOn w:val="Normal"/>
    <w:link w:val="TitlenametoprightChar"/>
    <w:qFormat/>
    <w:rsid w:val="009C5230"/>
    <w:pPr>
      <w:spacing w:before="0"/>
      <w:ind w:right="-567"/>
      <w:jc w:val="right"/>
    </w:pPr>
    <w:rPr>
      <w:rFonts w:ascii="Arial Bold" w:hAnsi="Arial Bold" w:cs="Arial"/>
      <w:b/>
      <w:color w:val="2147ED" w:themeColor="accent1"/>
      <w:spacing w:val="6"/>
      <w:sz w:val="18"/>
      <w:szCs w:val="21"/>
    </w:rPr>
  </w:style>
  <w:style w:type="character" w:customStyle="1" w:styleId="TitlenametoprightChar">
    <w:name w:val="Title name (top right) Char"/>
    <w:basedOn w:val="DefaultParagraphFont"/>
    <w:link w:val="Titlenametopright"/>
    <w:rsid w:val="009C5230"/>
    <w:rPr>
      <w:rFonts w:ascii="Arial Bold" w:hAnsi="Arial Bold" w:cs="Arial"/>
      <w:b/>
      <w:color w:val="2147ED" w:themeColor="accent1"/>
      <w:spacing w:val="6"/>
      <w:sz w:val="18"/>
      <w:szCs w:val="21"/>
      <w:lang w:val="en-GB"/>
    </w:rPr>
  </w:style>
  <w:style w:type="paragraph" w:customStyle="1" w:styleId="Address">
    <w:name w:val="Address"/>
    <w:basedOn w:val="Normal"/>
    <w:link w:val="AddressChar"/>
    <w:qFormat/>
    <w:rsid w:val="00D6487A"/>
    <w:pPr>
      <w:spacing w:before="80" w:after="80" w:line="270" w:lineRule="atLeast"/>
      <w:jc w:val="both"/>
    </w:pPr>
    <w:rPr>
      <w:rFonts w:ascii="Calibri" w:hAnsi="Calibri" w:cs="Calibri"/>
      <w:sz w:val="22"/>
    </w:rPr>
  </w:style>
  <w:style w:type="character" w:customStyle="1" w:styleId="AddressChar">
    <w:name w:val="Address Char"/>
    <w:basedOn w:val="DefaultParagraphFont"/>
    <w:link w:val="Address"/>
    <w:rsid w:val="00D6487A"/>
    <w:rPr>
      <w:rFonts w:ascii="Calibri" w:hAnsi="Calibri" w:cs="Calibri"/>
      <w:sz w:val="22"/>
      <w:lang w:val="en-GB"/>
    </w:rPr>
  </w:style>
  <w:style w:type="character" w:customStyle="1" w:styleId="Heading7Char">
    <w:name w:val="Heading 7 Char"/>
    <w:basedOn w:val="DefaultParagraphFont"/>
    <w:link w:val="Heading7"/>
    <w:uiPriority w:val="9"/>
    <w:semiHidden/>
    <w:rsid w:val="00D6487A"/>
    <w:rPr>
      <w:rFonts w:asciiTheme="majorHAnsi" w:eastAsiaTheme="majorEastAsia" w:hAnsiTheme="majorHAnsi" w:cstheme="majorBidi"/>
      <w:i/>
      <w:iCs/>
      <w:color w:val="0A1F7C" w:themeColor="accent1" w:themeShade="7F"/>
      <w:sz w:val="20"/>
      <w:lang w:val="en-GB"/>
    </w:rPr>
  </w:style>
  <w:style w:type="table" w:styleId="ListTable3-Accent1">
    <w:name w:val="List Table 3 Accent 1"/>
    <w:basedOn w:val="TableNormal"/>
    <w:uiPriority w:val="48"/>
    <w:rsid w:val="00491C22"/>
    <w:pPr>
      <w:spacing w:line="240" w:lineRule="auto"/>
    </w:pPr>
    <w:tblPr>
      <w:tblStyleRowBandSize w:val="1"/>
      <w:tblStyleColBandSize w:val="1"/>
      <w:tblBorders>
        <w:top w:val="single" w:sz="4" w:space="0" w:color="2147ED" w:themeColor="accent1"/>
        <w:left w:val="single" w:sz="4" w:space="0" w:color="2147ED" w:themeColor="accent1"/>
        <w:bottom w:val="single" w:sz="4" w:space="0" w:color="2147ED" w:themeColor="accent1"/>
        <w:right w:val="single" w:sz="4" w:space="0" w:color="2147ED" w:themeColor="accent1"/>
      </w:tblBorders>
    </w:tblPr>
    <w:tblStylePr w:type="firstRow">
      <w:rPr>
        <w:b/>
        <w:bCs/>
        <w:color w:val="FFFFFF" w:themeColor="background1"/>
      </w:rPr>
      <w:tblPr/>
      <w:tcPr>
        <w:shd w:val="clear" w:color="auto" w:fill="2147ED" w:themeFill="accent1"/>
      </w:tcPr>
    </w:tblStylePr>
    <w:tblStylePr w:type="lastRow">
      <w:rPr>
        <w:b/>
        <w:bCs/>
      </w:rPr>
      <w:tblPr/>
      <w:tcPr>
        <w:tcBorders>
          <w:top w:val="double" w:sz="4" w:space="0" w:color="2147E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47ED" w:themeColor="accent1"/>
          <w:right w:val="single" w:sz="4" w:space="0" w:color="2147ED" w:themeColor="accent1"/>
        </w:tcBorders>
      </w:tcPr>
    </w:tblStylePr>
    <w:tblStylePr w:type="band1Horz">
      <w:tblPr/>
      <w:tcPr>
        <w:tcBorders>
          <w:top w:val="single" w:sz="4" w:space="0" w:color="2147ED" w:themeColor="accent1"/>
          <w:bottom w:val="single" w:sz="4" w:space="0" w:color="2147E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47ED" w:themeColor="accent1"/>
          <w:left w:val="nil"/>
        </w:tcBorders>
      </w:tcPr>
    </w:tblStylePr>
    <w:tblStylePr w:type="swCell">
      <w:tblPr/>
      <w:tcPr>
        <w:tcBorders>
          <w:top w:val="double" w:sz="4" w:space="0" w:color="2147ED" w:themeColor="accent1"/>
          <w:right w:val="nil"/>
        </w:tcBorders>
      </w:tcPr>
    </w:tblStylePr>
  </w:style>
  <w:style w:type="table" w:styleId="ListTable4-Accent1">
    <w:name w:val="List Table 4 Accent 1"/>
    <w:basedOn w:val="TableNormal"/>
    <w:uiPriority w:val="49"/>
    <w:rsid w:val="00491C22"/>
    <w:pPr>
      <w:spacing w:line="240" w:lineRule="auto"/>
    </w:pPr>
    <w:tblPr>
      <w:tblStyleRowBandSize w:val="1"/>
      <w:tblStyleColBandSize w:val="1"/>
      <w:tblBorders>
        <w:top w:val="single" w:sz="4" w:space="0" w:color="7990F4" w:themeColor="accent1" w:themeTint="99"/>
        <w:left w:val="single" w:sz="4" w:space="0" w:color="7990F4" w:themeColor="accent1" w:themeTint="99"/>
        <w:bottom w:val="single" w:sz="4" w:space="0" w:color="7990F4" w:themeColor="accent1" w:themeTint="99"/>
        <w:right w:val="single" w:sz="4" w:space="0" w:color="7990F4" w:themeColor="accent1" w:themeTint="99"/>
        <w:insideH w:val="single" w:sz="4" w:space="0" w:color="7990F4" w:themeColor="accent1" w:themeTint="99"/>
      </w:tblBorders>
    </w:tblPr>
    <w:tblStylePr w:type="firstRow">
      <w:rPr>
        <w:b/>
        <w:bCs/>
        <w:color w:val="FFFFFF" w:themeColor="background1"/>
      </w:rPr>
      <w:tblPr/>
      <w:tcPr>
        <w:tcBorders>
          <w:top w:val="single" w:sz="4" w:space="0" w:color="2147ED" w:themeColor="accent1"/>
          <w:left w:val="single" w:sz="4" w:space="0" w:color="2147ED" w:themeColor="accent1"/>
          <w:bottom w:val="single" w:sz="4" w:space="0" w:color="2147ED" w:themeColor="accent1"/>
          <w:right w:val="single" w:sz="4" w:space="0" w:color="2147ED" w:themeColor="accent1"/>
          <w:insideH w:val="nil"/>
        </w:tcBorders>
        <w:shd w:val="clear" w:color="auto" w:fill="2147ED" w:themeFill="accent1"/>
      </w:tcPr>
    </w:tblStylePr>
    <w:tblStylePr w:type="lastRow">
      <w:rPr>
        <w:b/>
        <w:bCs/>
      </w:rPr>
      <w:tblPr/>
      <w:tcPr>
        <w:tcBorders>
          <w:top w:val="double" w:sz="4" w:space="0" w:color="7990F4" w:themeColor="accent1" w:themeTint="99"/>
        </w:tcBorders>
      </w:tcPr>
    </w:tblStylePr>
    <w:tblStylePr w:type="firstCol">
      <w:rPr>
        <w:b/>
        <w:bCs/>
      </w:rPr>
    </w:tblStylePr>
    <w:tblStylePr w:type="lastCol">
      <w:rPr>
        <w:b/>
        <w:bCs/>
      </w:rPr>
    </w:tblStylePr>
    <w:tblStylePr w:type="band1Vert">
      <w:tblPr/>
      <w:tcPr>
        <w:shd w:val="clear" w:color="auto" w:fill="D2DAFB" w:themeFill="accent1" w:themeFillTint="33"/>
      </w:tcPr>
    </w:tblStylePr>
    <w:tblStylePr w:type="band1Horz">
      <w:tblPr/>
      <w:tcPr>
        <w:shd w:val="clear" w:color="auto" w:fill="D2DAFB" w:themeFill="accent1" w:themeFillTint="33"/>
      </w:tcPr>
    </w:tblStylePr>
  </w:style>
  <w:style w:type="paragraph" w:styleId="CommentText">
    <w:name w:val="annotation text"/>
    <w:basedOn w:val="Normal"/>
    <w:link w:val="CommentTextChar"/>
    <w:uiPriority w:val="99"/>
    <w:semiHidden/>
    <w:unhideWhenUsed/>
    <w:rsid w:val="00D26538"/>
    <w:pPr>
      <w:spacing w:line="240" w:lineRule="auto"/>
    </w:pPr>
    <w:rPr>
      <w:szCs w:val="20"/>
    </w:rPr>
  </w:style>
  <w:style w:type="character" w:customStyle="1" w:styleId="CommentTextChar">
    <w:name w:val="Comment Text Char"/>
    <w:basedOn w:val="DefaultParagraphFont"/>
    <w:link w:val="CommentText"/>
    <w:uiPriority w:val="99"/>
    <w:semiHidden/>
    <w:rsid w:val="00D26538"/>
    <w:rPr>
      <w:rFonts w:ascii="Roboto" w:hAnsi="Roboto" w:cstheme="minorHAnsi"/>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984379">
      <w:bodyDiv w:val="1"/>
      <w:marLeft w:val="0"/>
      <w:marRight w:val="0"/>
      <w:marTop w:val="0"/>
      <w:marBottom w:val="0"/>
      <w:divBdr>
        <w:top w:val="none" w:sz="0" w:space="0" w:color="auto"/>
        <w:left w:val="none" w:sz="0" w:space="0" w:color="auto"/>
        <w:bottom w:val="none" w:sz="0" w:space="0" w:color="auto"/>
        <w:right w:val="none" w:sz="0" w:space="0" w:color="auto"/>
      </w:divBdr>
    </w:div>
    <w:div w:id="461463218">
      <w:bodyDiv w:val="1"/>
      <w:marLeft w:val="0"/>
      <w:marRight w:val="0"/>
      <w:marTop w:val="0"/>
      <w:marBottom w:val="0"/>
      <w:divBdr>
        <w:top w:val="none" w:sz="0" w:space="0" w:color="auto"/>
        <w:left w:val="none" w:sz="0" w:space="0" w:color="auto"/>
        <w:bottom w:val="none" w:sz="0" w:space="0" w:color="auto"/>
        <w:right w:val="none" w:sz="0" w:space="0" w:color="auto"/>
      </w:divBdr>
    </w:div>
    <w:div w:id="784547223">
      <w:bodyDiv w:val="1"/>
      <w:marLeft w:val="0"/>
      <w:marRight w:val="0"/>
      <w:marTop w:val="0"/>
      <w:marBottom w:val="0"/>
      <w:divBdr>
        <w:top w:val="none" w:sz="0" w:space="0" w:color="auto"/>
        <w:left w:val="none" w:sz="0" w:space="0" w:color="auto"/>
        <w:bottom w:val="none" w:sz="0" w:space="0" w:color="auto"/>
        <w:right w:val="none" w:sz="0" w:space="0" w:color="auto"/>
      </w:divBdr>
    </w:div>
    <w:div w:id="867990208">
      <w:bodyDiv w:val="1"/>
      <w:marLeft w:val="0"/>
      <w:marRight w:val="0"/>
      <w:marTop w:val="0"/>
      <w:marBottom w:val="0"/>
      <w:divBdr>
        <w:top w:val="none" w:sz="0" w:space="0" w:color="auto"/>
        <w:left w:val="none" w:sz="0" w:space="0" w:color="auto"/>
        <w:bottom w:val="none" w:sz="0" w:space="0" w:color="auto"/>
        <w:right w:val="none" w:sz="0" w:space="0" w:color="auto"/>
      </w:divBdr>
    </w:div>
    <w:div w:id="1060598765">
      <w:bodyDiv w:val="1"/>
      <w:marLeft w:val="0"/>
      <w:marRight w:val="0"/>
      <w:marTop w:val="0"/>
      <w:marBottom w:val="0"/>
      <w:divBdr>
        <w:top w:val="none" w:sz="0" w:space="0" w:color="auto"/>
        <w:left w:val="none" w:sz="0" w:space="0" w:color="auto"/>
        <w:bottom w:val="none" w:sz="0" w:space="0" w:color="auto"/>
        <w:right w:val="none" w:sz="0" w:space="0" w:color="auto"/>
      </w:divBdr>
    </w:div>
    <w:div w:id="1743332816">
      <w:bodyDiv w:val="1"/>
      <w:marLeft w:val="0"/>
      <w:marRight w:val="0"/>
      <w:marTop w:val="0"/>
      <w:marBottom w:val="0"/>
      <w:divBdr>
        <w:top w:val="none" w:sz="0" w:space="0" w:color="auto"/>
        <w:left w:val="none" w:sz="0" w:space="0" w:color="auto"/>
        <w:bottom w:val="none" w:sz="0" w:space="0" w:color="auto"/>
        <w:right w:val="none" w:sz="0" w:space="0" w:color="auto"/>
      </w:divBdr>
    </w:div>
    <w:div w:id="205207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CT-Templates\Carbon%20Trust%20Report.dotx" TargetMode="External"/></Relationships>
</file>

<file path=word/theme/theme1.xml><?xml version="1.0" encoding="utf-8"?>
<a:theme xmlns:a="http://schemas.openxmlformats.org/drawingml/2006/main" name="Office Theme">
  <a:themeElements>
    <a:clrScheme name="CT NEW COLOUR PALETTE">
      <a:dk1>
        <a:srgbClr val="000000"/>
      </a:dk1>
      <a:lt1>
        <a:srgbClr val="FFFFFF"/>
      </a:lt1>
      <a:dk2>
        <a:srgbClr val="1D192B"/>
      </a:dk2>
      <a:lt2>
        <a:srgbClr val="00A7FF"/>
      </a:lt2>
      <a:accent1>
        <a:srgbClr val="2147ED"/>
      </a:accent1>
      <a:accent2>
        <a:srgbClr val="00FF6C"/>
      </a:accent2>
      <a:accent3>
        <a:srgbClr val="C724B1"/>
      </a:accent3>
      <a:accent4>
        <a:srgbClr val="00007F"/>
      </a:accent4>
      <a:accent5>
        <a:srgbClr val="D6D6D4"/>
      </a:accent5>
      <a:accent6>
        <a:srgbClr val="71FFFF"/>
      </a:accent6>
      <a:hlink>
        <a:srgbClr val="00007F"/>
      </a:hlink>
      <a:folHlink>
        <a:srgbClr val="A7B8F5"/>
      </a:folHlink>
    </a:clrScheme>
    <a:fontScheme name="CT BRAND 15.10.2021">
      <a:majorFont>
        <a:latin typeface="Arial"/>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D9940F8876914F80070202556A10BF" ma:contentTypeVersion="18" ma:contentTypeDescription="Create a new document." ma:contentTypeScope="" ma:versionID="3341e99c653218d24c77a99351ebcb2b">
  <xsd:schema xmlns:xsd="http://www.w3.org/2001/XMLSchema" xmlns:xs="http://www.w3.org/2001/XMLSchema" xmlns:p="http://schemas.microsoft.com/office/2006/metadata/properties" xmlns:ns2="eace280f-75b5-4d9b-9c70-acdc6c911b91" xmlns:ns3="58c1a933-cd4a-4eeb-b01e-03be787f2e5c" targetNamespace="http://schemas.microsoft.com/office/2006/metadata/properties" ma:root="true" ma:fieldsID="ff9b6496550485adc076a59179f07864" ns2:_="" ns3:_="">
    <xsd:import namespace="eace280f-75b5-4d9b-9c70-acdc6c911b91"/>
    <xsd:import namespace="58c1a933-cd4a-4eeb-b01e-03be787f2e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ce280f-75b5-4d9b-9c70-acdc6c911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14c6e9a-4c33-454e-8dc9-9e27271d2f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c1a933-cd4a-4eeb-b01e-03be787f2e5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eac2de3-a3d1-437a-a55e-43b00d22d599}" ma:internalName="TaxCatchAll" ma:showField="CatchAllData" ma:web="58c1a933-cd4a-4eeb-b01e-03be787f2e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8c1a933-cd4a-4eeb-b01e-03be787f2e5c">
      <UserInfo>
        <DisplayName>Alistair Morris</DisplayName>
        <AccountId>36</AccountId>
        <AccountType/>
      </UserInfo>
    </SharedWithUsers>
    <lcf76f155ced4ddcb4097134ff3c332f xmlns="eace280f-75b5-4d9b-9c70-acdc6c911b91">
      <Terms xmlns="http://schemas.microsoft.com/office/infopath/2007/PartnerControls"/>
    </lcf76f155ced4ddcb4097134ff3c332f>
    <TaxCatchAll xmlns="58c1a933-cd4a-4eeb-b01e-03be787f2e5c" xsi:nil="true"/>
  </documentManagement>
</p:properties>
</file>

<file path=customXml/itemProps1.xml><?xml version="1.0" encoding="utf-8"?>
<ds:datastoreItem xmlns:ds="http://schemas.openxmlformats.org/officeDocument/2006/customXml" ds:itemID="{36AC5D60-8968-47ED-A1BD-94645C9E2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ce280f-75b5-4d9b-9c70-acdc6c911b91"/>
    <ds:schemaRef ds:uri="58c1a933-cd4a-4eeb-b01e-03be787f2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06057A-4456-4E13-B481-7508A042681A}">
  <ds:schemaRefs>
    <ds:schemaRef ds:uri="http://schemas.openxmlformats.org/officeDocument/2006/bibliography"/>
  </ds:schemaRefs>
</ds:datastoreItem>
</file>

<file path=customXml/itemProps3.xml><?xml version="1.0" encoding="utf-8"?>
<ds:datastoreItem xmlns:ds="http://schemas.openxmlformats.org/officeDocument/2006/customXml" ds:itemID="{1445E914-CA6A-4A51-950D-47F485B14DEA}">
  <ds:schemaRefs>
    <ds:schemaRef ds:uri="http://schemas.microsoft.com/sharepoint/v3/contenttype/forms"/>
  </ds:schemaRefs>
</ds:datastoreItem>
</file>

<file path=customXml/itemProps4.xml><?xml version="1.0" encoding="utf-8"?>
<ds:datastoreItem xmlns:ds="http://schemas.openxmlformats.org/officeDocument/2006/customXml" ds:itemID="{CACC4C49-8412-4F9F-8854-65B5FAE68759}">
  <ds:schemaRefs>
    <ds:schemaRef ds:uri="http://schemas.microsoft.com/office/2006/metadata/properties"/>
    <ds:schemaRef ds:uri="http://schemas.microsoft.com/office/infopath/2007/PartnerControls"/>
    <ds:schemaRef ds:uri="58c1a933-cd4a-4eeb-b01e-03be787f2e5c"/>
    <ds:schemaRef ds:uri="eace280f-75b5-4d9b-9c70-acdc6c911b91"/>
  </ds:schemaRefs>
</ds:datastoreItem>
</file>

<file path=docMetadata/LabelInfo.xml><?xml version="1.0" encoding="utf-8"?>
<clbl:labelList xmlns:clbl="http://schemas.microsoft.com/office/2020/mipLabelMetadata">
  <clbl:label id="{96e14e5a-57ac-48d7-851d-12f54eff5a60}" enabled="0" method="" siteId="{96e14e5a-57ac-48d7-851d-12f54eff5a60}" removed="1"/>
</clbl:labelList>
</file>

<file path=docProps/app.xml><?xml version="1.0" encoding="utf-8"?>
<Properties xmlns="http://schemas.openxmlformats.org/officeDocument/2006/extended-properties" xmlns:vt="http://schemas.openxmlformats.org/officeDocument/2006/docPropsVTypes">
  <Template>Carbon Trust Report</Template>
  <TotalTime>0</TotalTime>
  <Pages>8</Pages>
  <Words>2185</Words>
  <Characters>12307</Characters>
  <Application>Microsoft Office Word</Application>
  <DocSecurity>0</DocSecurity>
  <Lines>361</Lines>
  <Paragraphs>188</Paragraphs>
  <ScaleCrop>false</ScaleCrop>
  <HeadingPairs>
    <vt:vector size="2" baseType="variant">
      <vt:variant>
        <vt:lpstr>Title</vt:lpstr>
      </vt:variant>
      <vt:variant>
        <vt:i4>1</vt:i4>
      </vt:variant>
    </vt:vector>
  </HeadingPairs>
  <TitlesOfParts>
    <vt:vector size="1" baseType="lpstr">
      <vt:lpstr>Accelerate the mission to Net Zero</vt:lpstr>
    </vt:vector>
  </TitlesOfParts>
  <Company>The Cabon Trust</Company>
  <LinksUpToDate>false</LinksUpToDate>
  <CharactersWithSpaces>14304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Accelerate the mission to Net Zero</dc:title>
  <dc:subject/>
  <dc:creator>Hector Wilson</dc:creator>
  <cp:keywords/>
  <dc:description/>
  <cp:lastModifiedBy>Arturo Andersen</cp:lastModifiedBy>
  <cp:revision>88</cp:revision>
  <cp:lastPrinted>2022-05-25T09:24:00Z</cp:lastPrinted>
  <dcterms:created xsi:type="dcterms:W3CDTF">2023-07-21T08:30:00Z</dcterms:created>
  <dcterms:modified xsi:type="dcterms:W3CDTF">2026-09-16T11:59:00Z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erId">
    <vt:lpwstr>carbontrust</vt:lpwstr>
  </property>
  <property fmtid="{D5CDD505-2E9C-101B-9397-08002B2CF9AE}" pid="3" name="TemplateId">
    <vt:lpwstr>637388882876988928</vt:lpwstr>
  </property>
  <property fmtid="{D5CDD505-2E9C-101B-9397-08002B2CF9AE}" pid="4" name="UserProfileId">
    <vt:lpwstr>637465573792427290</vt:lpwstr>
  </property>
  <property fmtid="{D5CDD505-2E9C-101B-9397-08002B2CF9AE}" pid="5" name="ContentTypeId">
    <vt:lpwstr>0x010100A2D9940F8876914F80070202556A10BF</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efd4622a-63bd-4e53-b77b-eb337e642db0</vt:lpwstr>
  </property>
</Properties>
</file>